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**ID__AFARS_Appendix-EE_2-7__ID**</w:t>
      </w:r>
    </w:p>
    <w:p>
      <w:pPr>
        <w:pStyle w:val="Heading3"/>
        <w:spacing w:after="199"/>
        <w:ind w:left="120"/>
        <w:jc w:val="left"/>
      </w:pPr>
      <w:r>
        <w:rPr>
          <w:rFonts w:ascii="Times New Roman" w:hAnsi="Times New Roman"/>
          <w:color w:val="000000"/>
          <w:sz w:val="36"/>
        </w:rPr>
        <w:t>2-7.</w:t>
      </w:r>
      <w:r>
        <w:rPr>
          <w:rFonts w:ascii="Times New Roman" w:hAnsi="Times New Roman"/>
          <w:color w:val="000000"/>
          <w:sz w:val="36"/>
        </w:rPr>
        <w:t xml:space="preserve"> Card Security</w:t>
      </w:r>
    </w:p>
    <w:p>
      <w:pPr>
        <w:pBdr>
          <w:top w:space="5"/>
          <w:left w:space="5"/>
          <w:bottom w:space="5"/>
          <w:right w:space="5"/>
        </w:pBdr>
        <w:spacing w:after="0"/>
        <w:ind w:left="225"/>
        <w:jc w:val="left"/>
      </w:pPr>
      <w:r>
        <w:rPr>
          <w:rFonts w:ascii="Times New Roman" w:hAnsi="Times New Roman"/>
          <w:b w:val="false"/>
          <w:i w:val="false"/>
          <w:color w:val="000000"/>
          <w:sz w:val="22"/>
        </w:rPr>
        <w:t>a. CHs are responsible for properly using and safeguarding their GPCs. Only the CHs make purchases using their GPC. The CH must maintain the physical security of the card. If the card is lost or stolen, notify the issuing bank, A/BO, and A/OPC immediately.</w:t>
      </w:r>
    </w:p>
    <w:p>
      <w:pPr>
        <w:pBdr>
          <w:top w:space="5"/>
          <w:left w:space="5"/>
          <w:bottom w:space="5"/>
          <w:right w:space="5"/>
        </w:pBdr>
        <w:spacing w:after="0"/>
        <w:ind w:left="225"/>
        <w:jc w:val="left"/>
      </w:pPr>
      <w:r>
        <w:rPr>
          <w:rFonts w:ascii="Times New Roman" w:hAnsi="Times New Roman"/>
          <w:b w:val="false"/>
          <w:i w:val="false"/>
          <w:color w:val="000000"/>
          <w:sz w:val="22"/>
        </w:rPr>
        <w:t>b. In addition to corrective or disciplinary action, military personnel who misuse their GPC 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p>
    <w:p>
      <w:pPr>
        <w:pBdr>
          <w:top w:space="5"/>
          <w:left w:space="5"/>
          <w:bottom w:space="5"/>
          <w:right w:space="5"/>
        </w:pBdr>
        <w:spacing w:after="0"/>
        <w:ind w:left="225"/>
        <w:jc w:val="left"/>
      </w:pPr>
      <w:r>
        <w:rPr>
          <w:rFonts w:ascii="Times New Roman" w:hAnsi="Times New Roman"/>
          <w:b w:val="false"/>
          <w:i w:val="false"/>
          <w:color w:val="000000"/>
          <w:sz w:val="22"/>
        </w:rPr>
        <w:t>c. The Servicing Bank must ensure that adequate controls are in place to ensure the security of transaction data within their electronic access system. Only the cardholder or A/BO can approve, dispute, or reallocate purchase card transactions. The Servicing Bank must ensure that adequate controls are in place within their data warehouse to preclude anyone other than the A/BO or alternate A/BO from accessing, making changes and certifying the monthly bill.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