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**ID__AFARS_Appendix-EE_3-2__ID**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3-2.</w:t>
      </w:r>
      <w:r>
        <w:rPr>
          <w:rFonts w:ascii="Times New Roman" w:hAnsi="Times New Roman"/>
          <w:color w:val="000000"/>
          <w:sz w:val="36"/>
        </w:rPr>
        <w:t xml:space="preserve"> Use of the GPC for Training and Education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The GPC shall be used by Training and Education Office personnel, and may be used by CHs, to pay for commercial off-the-shelf training and education up to $25,000 for an individual or planned series of the same training event, activity, or course material - AFARS 5113.270-90(g). GPC training cards must be issued and dedicated solely for this purpose.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The Standard Form (SF)-182 (Request, Authorization, Agreement, Certification of Training and Reimbursement) remains the authorized and required training source document. GPC payment for commercial off-the-shelf training must be accompanied by an SF-182.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 .GPC training cards are established with a single purchase limit of $25,000. Use of the GPC above the training micro-purchase level of $25,000 constitutes a payment mechanism, not a contracting method. Any use of the GPC above $25,000 as a payment method for commercial services must have a valid underlying contract in which payment can be made using the GPC. Training cards will have all merchant category codes (MCCs) blocked except the following sources of training: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7392 - Management, Consulting and Public Relations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7399 - Business Services (Not Elsewhere Classified)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8220 - Colleges, universities, junior colleges, and other professional schools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8241 - Correspondence schools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8244 - All business/secondary schools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8249 - Vocational/trade schools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8299 - Schools and Education Services (Not Elsewhere Classified)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