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**ID__AFARS_Appendix-EE_4-1__ID**</w:t>
      </w:r>
    </w:p>
    <w:p>
      <w:pPr>
        <w:pStyle w:val="Heading3"/>
        <w:spacing w:after="199"/>
        <w:ind w:left="120"/>
        <w:jc w:val="left"/>
      </w:pPr>
      <w:r>
        <w:rPr>
          <w:rFonts w:ascii="Times New Roman" w:hAnsi="Times New Roman"/>
          <w:color w:val="000000"/>
          <w:sz w:val="36"/>
        </w:rPr>
        <w:t>4-1.</w:t>
      </w:r>
      <w:r>
        <w:rPr>
          <w:rFonts w:ascii="Times New Roman" w:hAnsi="Times New Roman"/>
          <w:color w:val="000000"/>
          <w:sz w:val="36"/>
        </w:rPr>
        <w:t xml:space="preserve"> Management Controls</w:t>
      </w:r>
    </w:p>
    <w:p>
      <w:pPr>
        <w:pBdr>
          <w:top w:space="5"/>
          <w:left w:space="5"/>
          <w:bottom w:space="5"/>
          <w:right w:space="5"/>
        </w:pBdr>
        <w:spacing w:after="0"/>
        <w:ind w:left="225"/>
        <w:jc w:val="left"/>
      </w:pPr>
      <w:r>
        <w:rPr>
          <w:rFonts w:ascii="Times New Roman" w:hAnsi="Times New Roman"/>
          <w:b w:val="false"/>
          <w:i w:val="false"/>
          <w:color w:val="000000"/>
          <w:sz w:val="22"/>
        </w:rPr>
        <w:t>a. This section provides specific management controls required of GPC programs, guidelines for disciplining abusers, and other control information. Office of Management and Budget (OMB) Circular A-123, Appendix B,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w:t>
      </w:r>
    </w:p>
    <w:p>
      <w:pPr>
        <w:pBdr>
          <w:top w:space="5"/>
          <w:left w:space="5"/>
          <w:bottom w:space="5"/>
          <w:right w:space="5"/>
        </w:pBdr>
        <w:spacing w:after="0"/>
        <w:ind w:left="225"/>
        <w:jc w:val="left"/>
      </w:pPr>
      <w:r>
        <w:rPr>
          <w:rFonts w:ascii="Times New Roman" w:hAnsi="Times New Roman"/>
          <w:b w:val="false"/>
          <w:i w:val="false"/>
          <w:color w:val="000000"/>
          <w:sz w:val="22"/>
        </w:rPr>
        <w:t>b. Required Management Controls include: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i w:val="false"/>
          <w:color w:val="000000"/>
          <w:sz w:val="22"/>
        </w:rPr>
        <w:t>Maintain Purchase Log:</w:t>
      </w:r>
      <w:r>
        <w:rPr>
          <w:rFonts w:ascii="Times New Roman" w:hAnsi="Times New Roman"/>
          <w:b w:val="false"/>
          <w:i w:val="false"/>
          <w:color w:val="000000"/>
          <w:sz w:val="22"/>
        </w:rPr>
        <w:t xml:space="preserve"> All CHs are required to maintain either an electronic or a manual log (if not electronically enabled) for each transaction made using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i w:val="false"/>
          <w:color w:val="000000"/>
          <w:sz w:val="22"/>
        </w:rPr>
        <w:t>Maintain Positive System of Funds Control</w:t>
      </w:r>
      <w:r>
        <w:rPr>
          <w:rFonts w:ascii="Times New Roman" w:hAnsi="Times New Roman"/>
          <w:b/>
          <w:i w:val="false"/>
          <w:color w:val="000000"/>
          <w:sz w:val="22"/>
        </w:rPr>
        <w:t>:</w:t>
      </w:r>
      <w:r>
        <w:rPr>
          <w:rFonts w:ascii="Times New Roman" w:hAnsi="Times New Roman"/>
          <w:b w:val="false"/>
          <w:i w:val="false"/>
          <w:color w:val="000000"/>
          <w:sz w:val="22"/>
        </w:rPr>
        <w:t xml:space="preserve"> Spending limits (such as monthly and office limits) are tied directly to the funding allocated for each card account (monthly, quarterly, and semiannually). Fund limits should be consistent with historical spending patterns to minimize Government exposure and ensure adequate funds availability. This provides an overall control to ensure funding is available prior to purchases being made with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i w:val="false"/>
          <w:color w:val="000000"/>
          <w:sz w:val="22"/>
        </w:rPr>
        <w:t>Ensure Separation of Duties</w:t>
      </w:r>
      <w:r>
        <w:rPr>
          <w:rFonts w:ascii="Times New Roman" w:hAnsi="Times New Roman"/>
          <w:b/>
          <w:i w:val="false"/>
          <w:color w:val="000000"/>
          <w:sz w:val="22"/>
        </w:rPr>
        <w:t>:</w:t>
      </w:r>
      <w:r>
        <w:rPr>
          <w:rFonts w:ascii="Times New Roman" w:hAnsi="Times New Roman"/>
          <w:b w:val="false"/>
          <w:i w:val="false"/>
          <w:color w:val="000000"/>
          <w:sz w:val="22"/>
        </w:rPr>
        <w:t xml:space="preserve"> 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must be assigned to different individuals to the greatest extent possible to minimize the risk of loss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i w:val="false"/>
          <w:color w:val="000000"/>
          <w:sz w:val="22"/>
        </w:rPr>
        <w:t>Reconciliation/Approval by the CH</w:t>
      </w:r>
      <w:r>
        <w:rPr>
          <w:rFonts w:ascii="Times New Roman" w:hAnsi="Times New Roman"/>
          <w:b/>
          <w:i w:val="false"/>
          <w:color w:val="000000"/>
          <w:sz w:val="22"/>
        </w:rPr>
        <w:t>:</w:t>
      </w:r>
      <w:r>
        <w:rPr>
          <w:rFonts w:ascii="Times New Roman" w:hAnsi="Times New Roman"/>
          <w:b w:val="false"/>
          <w:i w:val="false"/>
          <w:color w:val="000000"/>
          <w:sz w:val="22"/>
        </w:rPr>
        <w:t xml:space="preserve"> During each billing cycle, CHs are required to reconcile the CH statement they receive from the issuing bank against the purchase card log they are required to maintain for card purchases.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Reconciliation/Approval by the A/BO:</w:t>
      </w:r>
      <w:r>
        <w:rPr>
          <w:rFonts w:ascii="Times New Roman" w:hAnsi="Times New Roman"/>
          <w:b w:val="false"/>
          <w:i w:val="false"/>
          <w:color w:val="000000"/>
          <w:sz w:val="22"/>
        </w:rPr>
        <w:t xml:space="preserve"> 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Exercise Dispute Authority</w:t>
      </w:r>
      <w:r>
        <w:rPr>
          <w:rFonts w:ascii="Times New Roman" w:hAnsi="Times New Roman"/>
          <w:b/>
          <w:i w:val="false"/>
          <w:color w:val="000000"/>
          <w:sz w:val="22"/>
        </w:rPr>
        <w:t>:</w:t>
      </w:r>
      <w:r>
        <w:rPr>
          <w:rFonts w:ascii="Times New Roman" w:hAnsi="Times New Roman"/>
          <w:b w:val="false"/>
          <w:i w:val="false"/>
          <w:color w:val="000000"/>
          <w:sz w:val="22"/>
        </w:rPr>
        <w:t xml:space="preserve"> The CH has 60 days from the date of the billing statement to dispute the transaction.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i w:val="false"/>
          <w:color w:val="000000"/>
          <w:sz w:val="22"/>
        </w:rPr>
        <w:t>Exercise/Maintain Authorization Controls:</w:t>
      </w:r>
      <w:r>
        <w:rPr>
          <w:rFonts w:ascii="Times New Roman" w:hAnsi="Times New Roman"/>
          <w:b w:val="false"/>
          <w:i w:val="false"/>
          <w:color w:val="000000"/>
          <w:sz w:val="22"/>
        </w:rPr>
        <w:t xml:space="preserve"> Appropriate spending limits and Merchant Category Code (MCC) access are tailored to each CH account. Spending limits and MCC access should reflect historical buying patterns/trends.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i w:val="false"/>
          <w:color w:val="000000"/>
          <w:sz w:val="22"/>
        </w:rPr>
        <w:t>Systems Access Security:</w:t>
      </w:r>
      <w:r>
        <w:rPr>
          <w:rFonts w:ascii="Times New Roman" w:hAnsi="Times New Roman"/>
          <w:b w:val="false"/>
          <w:i w:val="false"/>
          <w:color w:val="000000"/>
          <w:sz w:val="22"/>
        </w:rPr>
        <w:t xml:space="preserve"> Appropriate safeguards must be in place to control issuance and safeguarding of access credentials to the EAS.</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i w:val="false"/>
          <w:color w:val="000000"/>
          <w:sz w:val="22"/>
        </w:rPr>
        <w:t>Available Funding Integrity:</w:t>
      </w:r>
      <w:r>
        <w:rPr>
          <w:rFonts w:ascii="Times New Roman" w:hAnsi="Times New Roman"/>
          <w:b w:val="false"/>
          <w:i w:val="false"/>
          <w:color w:val="000000"/>
          <w:sz w:val="22"/>
        </w:rPr>
        <w:t xml:space="preserve"> Certified lines of accounting (LOAs) must be traceable through disbursement. All changes to LOAs must be documented and certified.</w:t>
      </w:r>
    </w:p>
    <w:p>
      <w:pPr>
        <w:pBdr>
          <w:top w:space="5"/>
          <w:left w:space="5"/>
          <w:bottom w:space="5"/>
          <w:right w:space="5"/>
        </w:pBdr>
        <w:spacing w:after="0"/>
        <w:ind w:left="58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Invoice Integrity:</w:t>
      </w:r>
      <w:r>
        <w:rPr>
          <w:rFonts w:ascii="Times New Roman" w:hAnsi="Times New Roman"/>
          <w:b w:val="false"/>
          <w:i w:val="false"/>
          <w:color w:val="000000"/>
          <w:sz w:val="22"/>
        </w:rPr>
        <w:t xml:space="preserve"> An electronic certification process ensures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DoDFMR</w:t>
        </w:r>
      </w:hyperlink>
      <w:r>
        <w:rPr>
          <w:rFonts w:ascii="Times New Roman" w:hAnsi="Times New Roman"/>
          <w:b w:val="false"/>
          <w:i w:val="false"/>
          <w:color w:val="000000"/>
          <w:sz w:val="22"/>
        </w:rPr>
        <w:t>. If appropriate, the Certifying Officer makes any required “pen and ink” changes on the original invoice to reallocate the payment to different funding lines from those reflected on the original invoice. The Certifying Officer determines whether these changes are proper and affix his/her signature with the standard certification language on the original paper invoice.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comptroller.defense.gov/fmr/05/05_33.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