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**ID__AFARS_Appendix-EE-Appendix-D__ID**</w:t>
      </w:r>
    </w:p>
    <w:p>
      <w:pPr>
        <w:pStyle w:val="Heading2"/>
        <w:spacing w:after="180"/>
        <w:ind w:left="120"/>
        <w:jc w:val="left"/>
      </w:pPr>
      <w:r>
        <w:rPr>
          <w:rFonts w:ascii="Times New Roman" w:hAnsi="Times New Roman"/>
          <w:color w:val="000000"/>
          <w:sz w:val="48"/>
        </w:rPr>
        <w:t>Appendix D</w:t>
      </w:r>
      <w:r>
        <w:rPr>
          <w:rFonts w:ascii="Times New Roman" w:hAnsi="Times New Roman"/>
          <w:color w:val="000000"/>
          <w:sz w:val="48"/>
        </w:rPr>
        <w:t>: Department of Defense (DoD) Purchase Card Checklist and Certification Template</w:t>
      </w:r>
    </w:p>
    <w:p>
      <w:pPr>
        <w:pStyle w:val="Normal"/>
        <w:pBdr>
          <w:top w:space="5"/>
          <w:left w:space="5"/>
          <w:bottom w:space="5"/>
          <w:right w:space="5"/>
        </w:pBdr>
        <w:spacing w:after="0"/>
        <w:ind w:left="225"/>
        <w:jc w:val="left"/>
      </w:pPr>
      <w:r>
        <w:rPr>
          <w:rFonts w:ascii="Times New Roman" w:hAnsi="Times New Roman"/>
          <w:b/>
          <w:color w:val="000000"/>
        </w:rPr>
        <w:t>Function:</w:t>
      </w:r>
      <w:r>
        <w:rPr>
          <w:rFonts w:ascii="Times New Roman" w:hAnsi="Times New Roman"/>
          <w:color w:val="000000"/>
        </w:rPr>
        <w:t xml:space="preserve"> The function covered by this checklist is the administration of the Government Purchase Card Program.</w:t>
      </w:r>
    </w:p>
    <w:p>
      <w:pPr>
        <w:pStyle w:val="Normal"/>
        <w:pBdr>
          <w:top w:space="5"/>
          <w:left w:space="5"/>
          <w:bottom w:space="5"/>
          <w:right w:space="5"/>
        </w:pBdr>
        <w:spacing w:after="0"/>
        <w:ind w:left="225"/>
        <w:jc w:val="left"/>
      </w:pPr>
      <w:r>
        <w:rPr>
          <w:rFonts w:ascii="Times New Roman" w:hAnsi="Times New Roman"/>
          <w:b/>
          <w:color w:val="000000"/>
        </w:rPr>
        <w:t>Purpose:</w:t>
      </w:r>
      <w:r>
        <w:rPr>
          <w:rFonts w:ascii="Times New Roman" w:hAnsi="Times New Roman"/>
          <w:color w:val="000000"/>
        </w:rPr>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 Each activity is encouraged to supplement and tailor their review checklist to include any unique requirements. It may be necessary to complete one check list for each CH associated with the BO account. Place a copy in each CH’s file.</w:t>
      </w:r>
    </w:p>
    <w:p>
      <w:pPr>
        <w:pStyle w:val="Normal"/>
        <w:pBdr>
          <w:top w:space="5"/>
          <w:left w:space="5"/>
          <w:bottom w:space="5"/>
          <w:right w:space="5"/>
        </w:pBdr>
        <w:spacing w:after="0"/>
        <w:ind w:left="225"/>
        <w:jc w:val="left"/>
      </w:pPr>
      <w:r>
        <w:rPr>
          <w:rFonts w:ascii="Times New Roman" w:hAnsi="Times New Roman"/>
          <w:b/>
          <w:color w:val="000000"/>
        </w:rPr>
        <w:t>Instructions:</w:t>
      </w:r>
      <w:r>
        <w:rPr>
          <w:rFonts w:ascii="Times New Roman" w:hAnsi="Times New Roman"/>
          <w:color w:val="000000"/>
        </w:rPr>
        <w:t xml:space="preserve"> Answers must be based on the actual testing of key internal controls (e.g., document analysis, direct observation, sampling, simulation, and other). Answers that indicate deficiencies must be explained and corrective action indicated in supporting documentation.</w:t>
      </w:r>
    </w:p>
    <w:p>
      <w:pPr>
        <w:pStyle w:val="Normal"/>
        <w:pBdr>
          <w:top w:space="5"/>
          <w:left w:space="5"/>
          <w:bottom w:space="5"/>
          <w:right w:space="5"/>
        </w:pBdr>
        <w:spacing w:after="0"/>
        <w:ind w:left="225"/>
        <w:jc w:val="left"/>
      </w:pPr>
      <w:r>
        <w:drawing>
          <wp:inline distT="0" distB="0" distL="0" distR="0">
            <wp:extent cx="152400" cy="15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52400" cy="152400"/>
                    </a:xfrm>
                    <a:prstGeom prst="rect">
                      <a:avLst/>
                    </a:prstGeom>
                  </pic:spPr>
                </pic:pic>
              </a:graphicData>
            </a:graphic>
          </wp:inline>
        </w:drawing>
      </w:r>
      <w:r>
        <w:rPr>
          <w:rFonts w:ascii="Times New Roman" w:hAnsi="Times New Roman"/>
          <w:color w:val="000000"/>
          <w:u w:val="single"/>
        </w:rPr>
        <w:t>Click here</w:t>
      </w:r>
      <w:r>
        <w:rPr>
          <w:rFonts w:ascii="Times New Roman" w:hAnsi="Times New Roman"/>
          <w:color w:val="000000"/>
        </w:rPr>
        <w:t xml:space="preserve"> for the Department of Defense (DoD) Purchase Card Policy Office (PCPO) Government Purchase Card (GPC) Review Best Practice Checklist (July 2012).</w:t>
      </w:r>
    </w:p>
    <w:p>
      <w:pPr>
        <w:pStyle w:val="Normal"/>
        <w:pBdr>
          <w:top w:space="5"/>
          <w:left w:space="5"/>
          <w:bottom w:space="5"/>
          <w:right w:space="5"/>
        </w:pBdr>
        <w:spacing w:after="0"/>
        <w:ind w:left="225"/>
        <w:jc w:val="left"/>
      </w:pPr>
      <w:r>
        <w:rPr>
          <w:rFonts w:ascii="Times New Roman" w:hAnsi="Times New Roman"/>
          <w:color w:val="000000"/>
        </w:rPr>
        <w:t xml:space="preserve">The checklist is located at: </w:t>
      </w:r>
      <w:hyperlink r:id="rId5">
        <w:r>
          <w:rPr>
            <w:rStyle w:val="Hyperlink"/>
            <w:rFonts w:ascii="Times New Roman" w:hAnsi="Times New Roman"/>
            <w:color w:val="0000ff"/>
            <w:u w:val="single"/>
          </w:rPr>
          <w:t/>
        </w:r>
        <w:r>
          <w:rPr>
            <w:rFonts w:ascii="Times New Roman" w:hAnsi="Times New Roman"/>
            <w:color w:val="0000ff"/>
            <w:u w:val="single"/>
          </w:rPr>
          <w:t>http://www.acq.osd.mil/dpap/pdi/pc/policy_documents.html</w:t>
        </w:r>
      </w:hyperlink>
    </w:p>
    <w:p>
      <w:pPr>
        <w:pStyle w:val="Normal"/>
        <w:pBdr>
          <w:top w:space="5"/>
          <w:left w:space="5"/>
          <w:bottom w:space="5"/>
          <w:right w:space="5"/>
        </w:pBdr>
        <w:spacing w:after="0"/>
        <w:ind w:left="225"/>
        <w:jc w:val="left"/>
      </w:pPr>
      <w:r>
        <w:rPr>
          <w:rFonts w:ascii="Times New Roman" w:hAnsi="Times New Roman"/>
          <w:b/>
          <w:color w:val="000000"/>
          <w:u w:val="single"/>
        </w:rPr>
        <w:t>Retention</w:t>
      </w:r>
      <w:r>
        <w:rPr>
          <w:rFonts w:ascii="Times New Roman" w:hAnsi="Times New Roman"/>
          <w:color w:val="000000"/>
        </w:rPr>
        <w:t xml:space="preserve"> </w:t>
      </w:r>
      <w:r>
        <w:rPr>
          <w:rFonts w:ascii="Times New Roman" w:hAnsi="Times New Roman"/>
          <w:b/>
          <w:color w:val="000000"/>
          <w:u w:val="single"/>
        </w:rPr>
        <w:t>Requirements</w:t>
      </w:r>
      <w:r>
        <w:rPr>
          <w:rFonts w:ascii="Times New Roman" w:hAnsi="Times New Roman"/>
          <w:b/>
          <w:color w:val="000000"/>
        </w:rPr>
        <w:t>:</w:t>
      </w:r>
      <w:r>
        <w:rPr>
          <w:rFonts w:ascii="Times New Roman" w:hAnsi="Times New Roman"/>
          <w:color w:val="000000"/>
        </w:rPr>
        <w:t xml:space="preserve"> A minimum of six years and three months from the date of the review or corrective action report date.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 TargetMode="External" Target="http://www.acq.osd.mil/dpap/pdi/pc/policy_documents.htm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