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**ID__AFARS_Appendix-EE-Appendix-I__ID**</w:t>
      </w:r>
    </w:p>
    <w:p>
      <w:pPr>
        <w:pStyle w:val="Heading2"/>
        <w:spacing w:after="180"/>
        <w:ind w:left="120"/>
        <w:jc w:val="left"/>
      </w:pPr>
      <w:r>
        <w:rPr>
          <w:rFonts w:ascii="Times New Roman" w:hAnsi="Times New Roman"/>
          <w:color w:val="000000"/>
          <w:sz w:val="48"/>
        </w:rPr>
        <w:t>Appendix I</w:t>
      </w:r>
      <w:r>
        <w:rPr>
          <w:rFonts w:ascii="Times New Roman" w:hAnsi="Times New Roman"/>
          <w:color w:val="000000"/>
          <w:sz w:val="48"/>
        </w:rPr>
        <w:t>: GPC Thresholds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394"/>
        <w:gridCol w:w="3394"/>
        <w:gridCol w:w="3393"/>
        <w:gridCol w:w="3393"/>
      </w:tblGrid>
      <w:tr>
        <w:trPr>
          <w:trHeight w:val="540"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GPC THRESHOLDS</w:t>
            </w:r>
          </w:p>
        </w:tc>
      </w:tr>
      <w:tr>
        <w:trPr>
          <w:trHeight w:val="54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THRESHOLD</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DESCRIPTION</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REFERENCE</w:t>
            </w:r>
          </w:p>
        </w:tc>
      </w:tr>
      <w:tr>
        <w:trPr>
          <w:trHeight w:val="2145" w:hRule="atLeast"/>
        </w:trPr>
        <w:tc>
          <w:tcPr>
            <w:tcW w:w="3394"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Micropurchases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$3,000</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Supplies or services- If purchases are made from CONUS vendors for use overseas, the micro-purchase threshold of $3,000 remains in effect.</w:t>
            </w:r>
          </w:p>
        </w:tc>
        <w:tc>
          <w:tcPr>
            <w:tcW w:w="3393"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FAR 2.10148 CFR Part IV AFARS 5113.270-90 paragraph (h)(1)</w:t>
            </w:r>
          </w:p>
        </w:tc>
      </w:tr>
      <w:tr>
        <w:trPr>
          <w:trHeight w:val="154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purchases covered by Service Contract</w:t>
            </w:r>
          </w:p>
          <w:p>
            <w:pPr>
              <w:pBdr>
                <w:top w:space="5"/>
                <w:left w:space="5"/>
                <w:bottom w:space="5"/>
                <w:right w:space="5"/>
              </w:pBdr>
              <w:spacing w:after="0"/>
              <w:ind w:left="240"/>
              <w:jc w:val="left"/>
            </w:pPr>
            <w:r>
              <w:rPr>
                <w:rFonts w:ascii="Times New Roman" w:hAnsi="Times New Roman"/>
                <w:b w:val="false"/>
                <w:i w:val="false"/>
                <w:color w:val="000000"/>
                <w:sz w:val="22"/>
              </w:rPr>
              <w:t>Labor Standards statute</w:t>
            </w:r>
          </w:p>
        </w:tc>
        <w:tc>
          <w:tcPr>
            <w:tcW w:w="0" w:type="auto"/>
            <w:vMerge/>
            <w:tcBorders>
              <w:top w:val="nil"/>
              <w:left w:val="outset" w:color="000000" w:sz="8"/>
              <w:bottom w:val="outset" w:color="000000" w:sz="8"/>
              <w:right w:val="outset" w:color="000000" w:sz="8"/>
            </w:tcBorders>
          </w:tcPr>
          <w:p/>
        </w:tc>
      </w:tr>
      <w:tr>
        <w:trPr>
          <w:trHeight w:val="154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$2,000</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purchases covered by</w:t>
            </w:r>
          </w:p>
          <w:p>
            <w:pPr>
              <w:pBdr>
                <w:top w:space="5"/>
                <w:left w:space="5"/>
                <w:bottom w:space="5"/>
                <w:right w:space="5"/>
              </w:pBdr>
              <w:spacing w:after="0"/>
              <w:ind w:left="240"/>
              <w:jc w:val="left"/>
            </w:pPr>
            <w:r>
              <w:rPr>
                <w:rFonts w:ascii="Times New Roman" w:hAnsi="Times New Roman"/>
                <w:b w:val="false"/>
                <w:i w:val="false"/>
                <w:color w:val="000000"/>
                <w:sz w:val="22"/>
              </w:rPr>
              <w:t>Construction Wage Rate Requirements statute</w:t>
            </w:r>
          </w:p>
        </w:tc>
        <w:tc>
          <w:tcPr>
            <w:tcW w:w="0" w:type="auto"/>
            <w:vMerge/>
            <w:tcBorders>
              <w:top w:val="nil"/>
              <w:left w:val="outset" w:color="000000" w:sz="8"/>
              <w:bottom w:val="outset" w:color="000000" w:sz="8"/>
              <w:right w:val="outset" w:color="000000" w:sz="8"/>
            </w:tcBorders>
          </w:tcPr>
          <w:p/>
        </w:tc>
      </w:tr>
      <w:tr>
        <w:trPr>
          <w:trHeight w:val="310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$15,000</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CONUS</w:t>
            </w:r>
          </w:p>
          <w:p>
            <w:pPr>
              <w:pBdr>
                <w:top w:space="5"/>
                <w:left w:space="5"/>
                <w:bottom w:space="5"/>
                <w:right w:space="5"/>
              </w:pBdr>
              <w:spacing w:after="0"/>
              <w:ind w:left="240"/>
              <w:jc w:val="left"/>
            </w:pPr>
            <w:r>
              <w:rPr>
                <w:rFonts w:ascii="Times New Roman" w:hAnsi="Times New Roman"/>
                <w:b w:val="false"/>
                <w:i w:val="false"/>
                <w:color w:val="000000"/>
                <w:sz w:val="22"/>
              </w:rPr>
              <w:t>1. Contingency Operation</w:t>
            </w:r>
          </w:p>
          <w:p>
            <w:pPr>
              <w:pBdr>
                <w:top w:space="5"/>
                <w:left w:space="5"/>
                <w:bottom w:space="5"/>
                <w:right w:space="5"/>
              </w:pBdr>
              <w:spacing w:after="0"/>
              <w:ind w:left="240"/>
              <w:jc w:val="left"/>
            </w:pPr>
            <w:r>
              <w:rPr>
                <w:rFonts w:ascii="Times New Roman" w:hAnsi="Times New Roman"/>
                <w:b w:val="false"/>
                <w:i w:val="false"/>
                <w:color w:val="000000"/>
                <w:sz w:val="22"/>
              </w:rPr>
              <w:t>2. Defense or Recovery from Certain Attacks (nuclear, biological, chemical, or radiological)</w:t>
            </w:r>
          </w:p>
        </w:tc>
        <w:tc>
          <w:tcPr>
            <w:tcW w:w="3393"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FAR 13.201 paragraph (g)(1)(i) &amp; (ii)FAR Part 18.2FAR 2.101FAC 2005-45FAR Case 2008-024DFARS 213.301</w:t>
            </w:r>
          </w:p>
        </w:tc>
      </w:tr>
      <w:tr>
        <w:trPr>
          <w:trHeight w:val="568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$25,000</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OCONUS</w:t>
            </w:r>
          </w:p>
          <w:p>
            <w:pPr>
              <w:pBdr>
                <w:top w:space="5"/>
                <w:left w:space="5"/>
                <w:bottom w:space="5"/>
                <w:right w:space="5"/>
              </w:pBdr>
              <w:spacing w:after="0"/>
              <w:ind w:left="240"/>
              <w:jc w:val="left"/>
            </w:pPr>
            <w:r>
              <w:rPr>
                <w:rFonts w:ascii="Times New Roman" w:hAnsi="Times New Roman"/>
                <w:b w:val="false"/>
                <w:i w:val="false"/>
                <w:color w:val="000000"/>
                <w:sz w:val="22"/>
              </w:rPr>
              <w:t>DFARS 213.301 - CH appointed per 201.603-3(b) may use the GPC up to $25,000, if—A commercial item purchase— made outside the United States for use outside the United States; cardholder is trained, complies with FAR 8.002, seeks maximum practicable competition for the purchase in accordance with FAR 13.104(b) - get at least 3 quotes.</w:t>
            </w:r>
          </w:p>
        </w:tc>
        <w:tc>
          <w:tcPr>
            <w:tcW w:w="0" w:type="auto"/>
            <w:vMerge/>
            <w:tcBorders>
              <w:top w:val="nil"/>
              <w:left w:val="outset" w:color="000000" w:sz="8"/>
              <w:bottom w:val="outset" w:color="000000" w:sz="8"/>
              <w:right w:val="outset" w:color="000000" w:sz="8"/>
            </w:tcBorders>
          </w:tcPr>
          <w:p/>
        </w:tc>
      </w:tr>
      <w:tr>
        <w:trPr>
          <w:trHeight w:val="310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$30,000</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OCONUS</w:t>
            </w:r>
          </w:p>
          <w:p>
            <w:pPr>
              <w:pBdr>
                <w:top w:space="5"/>
                <w:left w:space="5"/>
                <w:bottom w:space="5"/>
                <w:right w:space="5"/>
              </w:pBdr>
              <w:spacing w:after="0"/>
              <w:ind w:left="240"/>
              <w:jc w:val="left"/>
            </w:pPr>
            <w:r>
              <w:rPr>
                <w:rFonts w:ascii="Times New Roman" w:hAnsi="Times New Roman"/>
                <w:b w:val="false"/>
                <w:i w:val="false"/>
                <w:color w:val="000000"/>
                <w:sz w:val="22"/>
              </w:rPr>
              <w:t>1. Contingency Operation</w:t>
            </w:r>
          </w:p>
          <w:p>
            <w:pPr>
              <w:pBdr>
                <w:top w:space="5"/>
                <w:left w:space="5"/>
                <w:bottom w:space="5"/>
                <w:right w:space="5"/>
              </w:pBdr>
              <w:spacing w:after="0"/>
              <w:ind w:left="240"/>
              <w:jc w:val="left"/>
            </w:pPr>
            <w:r>
              <w:rPr>
                <w:rFonts w:ascii="Times New Roman" w:hAnsi="Times New Roman"/>
                <w:b w:val="false"/>
                <w:i w:val="false"/>
                <w:color w:val="000000"/>
                <w:sz w:val="22"/>
              </w:rPr>
              <w:t>2. Defense or Recovery from Certain Attacks (nuclear, biological, chemical, or radiological)</w:t>
            </w:r>
          </w:p>
        </w:tc>
        <w:tc>
          <w:tcPr>
            <w:tcW w:w="0" w:type="auto"/>
            <w:vMerge/>
            <w:tcBorders>
              <w:top w:val="nil"/>
              <w:left w:val="outset" w:color="000000" w:sz="8"/>
              <w:bottom w:val="outset" w:color="000000" w:sz="8"/>
              <w:right w:val="outset" w:color="000000" w:sz="8"/>
            </w:tcBorders>
          </w:tcPr>
          <w:p/>
        </w:tc>
      </w:tr>
      <w:tr>
        <w:trPr>
          <w:trHeight w:val="375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Contract</w:t>
            </w:r>
            <w:r>
              <w:rPr>
                <w:rFonts w:ascii="Times New Roman" w:hAnsi="Times New Roman"/>
                <w:b/>
                <w:i w:val="false"/>
                <w:color w:val="000000"/>
                <w:sz w:val="22"/>
              </w:rPr>
              <w:t>Payments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As identified in Contract</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Warranted contracting officers may use the GPC as a contract payment method up to the limit of their warrant. Written contracts to be paid by purchase card should include the clause at 52.232-36, Payment by Third Party, as prescribed by FAR 32.1110(d).</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(h)(2)FAR 32.1108 FAR 52-232-36</w:t>
            </w:r>
          </w:p>
        </w:tc>
      </w:tr>
      <w:tr>
        <w:trPr>
          <w:trHeight w:val="564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Cardholders (CHs)</w:t>
            </w:r>
          </w:p>
          <w:p>
            <w:pPr>
              <w:pBdr>
                <w:top w:space="5"/>
                <w:left w:space="5"/>
                <w:bottom w:space="5"/>
                <w:right w:space="5"/>
              </w:pBdr>
              <w:spacing w:after="0"/>
              <w:ind w:left="240"/>
              <w:jc w:val="center"/>
            </w:pPr>
            <w:r>
              <w:rPr>
                <w:rFonts w:ascii="Times New Roman" w:hAnsi="Times New Roman"/>
                <w:b/>
                <w:i w:val="false"/>
                <w:color w:val="000000"/>
                <w:sz w:val="22"/>
              </w:rPr>
              <w:t>designated as</w:t>
            </w:r>
            <w:r>
              <w:rPr>
                <w:rFonts w:ascii="Times New Roman" w:hAnsi="Times New Roman"/>
                <w:b/>
                <w:i w:val="false"/>
                <w:color w:val="000000"/>
                <w:sz w:val="22"/>
              </w:rPr>
              <w:t>Ordering Officers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$25,000</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CHs not in contracting organizations may use the GPC only to obtain items from pre-priced government contracts and agreements (e.g., FSS, BPAs, Indefinite Delivery/Indefinite Quantity ID/IQ contracts etc.). When purchasing from FSSs and BPAs, cardholders must review prices on at least three contracts/agreements. A record of this review is be kept with the GPC documentation.</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5113.202-90 ( c )</w:t>
            </w:r>
          </w:p>
        </w:tc>
      </w:tr>
      <w:tr>
        <w:trPr>
          <w:trHeight w:val="525" w:hRule="atLeast"/>
        </w:trPr>
        <w:tc>
          <w:tcPr>
            <w:tcW w:w="3394"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Convenience</w:t>
            </w:r>
            <w:r>
              <w:rPr>
                <w:rFonts w:ascii="Times New Roman" w:hAnsi="Times New Roman"/>
                <w:b/>
                <w:i w:val="false"/>
                <w:color w:val="000000"/>
                <w:sz w:val="22"/>
              </w:rPr>
              <w:t>Checks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$3,000</w:t>
            </w:r>
          </w:p>
        </w:tc>
        <w:tc>
          <w:tcPr>
            <w:tcW w:w="3393"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 the exception of contingency or emergency operations, convenience checks shall not be written over:</w:t>
            </w:r>
          </w:p>
          <w:p>
            <w:pPr>
              <w:numPr>
                <w:ilvl w:val="0"/>
                <w:numId w:val="1"/>
              </w:numPr>
              <w:spacing w:after="0"/>
              <w:ind w:left="845" w:hanging="360"/>
              <w:jc w:val="left"/>
            </w:pPr>
            <w:r>
              <w:rPr>
                <w:rFonts w:ascii="Times New Roman" w:hAnsi="Times New Roman"/>
                <w:b w:val="false"/>
                <w:i w:val="false"/>
                <w:color w:val="000000"/>
                <w:sz w:val="22"/>
              </w:rPr>
              <w:t>$3,000 for supplies,</w:t>
            </w:r>
          </w:p>
          <w:p>
            <w:pPr>
              <w:numPr>
                <w:ilvl w:val="0"/>
                <w:numId w:val="1"/>
              </w:numPr>
              <w:spacing w:after="0"/>
              <w:ind w:left="845" w:hanging="360"/>
              <w:jc w:val="left"/>
            </w:pPr>
            <w:r>
              <w:rPr>
                <w:rFonts w:ascii="Times New Roman" w:hAnsi="Times New Roman"/>
                <w:b w:val="false"/>
                <w:i w:val="false"/>
                <w:color w:val="000000"/>
                <w:sz w:val="22"/>
              </w:rPr>
              <w:t>$2,500 for services covered by the Service Contract Labor Standards statute, and</w:t>
            </w:r>
          </w:p>
          <w:p>
            <w:pPr>
              <w:numPr>
                <w:ilvl w:val="0"/>
                <w:numId w:val="1"/>
              </w:numPr>
              <w:spacing w:after="0"/>
              <w:ind w:left="845" w:hanging="360"/>
              <w:jc w:val="left"/>
            </w:pPr>
            <w:r>
              <w:rPr>
                <w:rFonts w:ascii="Times New Roman" w:hAnsi="Times New Roman"/>
                <w:b w:val="false"/>
                <w:i w:val="false"/>
                <w:color w:val="000000"/>
                <w:sz w:val="22"/>
              </w:rPr>
              <w:t>$2,000 for construction covered by the Construction Wage Rate Requirements Statute.</w:t>
            </w:r>
          </w:p>
        </w:tc>
        <w:tc>
          <w:tcPr>
            <w:tcW w:w="3393"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(h)(3)DOD GuidebookDOD FMR Vol. 10 23, 230505</w:t>
            </w:r>
          </w:p>
        </w:tc>
      </w:tr>
      <w:tr>
        <w:trPr>
          <w:trHeight w:val="52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w:t>
            </w:r>
          </w:p>
        </w:tc>
        <w:tc>
          <w:tcPr>
            <w:tcW w:w="0" w:type="auto"/>
            <w:vMerge/>
            <w:tcBorders>
              <w:top w:val="nil"/>
              <w:left w:val="outset" w:color="000000" w:sz="8"/>
              <w:bottom w:val="outset" w:color="000000" w:sz="8"/>
              <w:right w:val="outset" w:color="000000" w:sz="8"/>
            </w:tcBorders>
          </w:tcPr>
          <w:p/>
        </w:tc>
        <w:tc>
          <w:tcPr>
            <w:tcW w:w="0" w:type="auto"/>
            <w:vMerge/>
            <w:tcBorders>
              <w:top w:val="nil"/>
              <w:left w:val="outset" w:color="000000" w:sz="8"/>
              <w:bottom w:val="outset" w:color="000000" w:sz="8"/>
              <w:right w:val="outset" w:color="000000" w:sz="8"/>
            </w:tcBorders>
          </w:tcPr>
          <w:p/>
        </w:tc>
      </w:tr>
      <w:tr>
        <w:trPr>
          <w:trHeight w:val="6090"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$2,000</w:t>
            </w:r>
          </w:p>
        </w:tc>
        <w:tc>
          <w:tcPr>
            <w:tcW w:w="0" w:type="auto"/>
            <w:vMerge/>
            <w:tcBorders>
              <w:top w:val="nil"/>
              <w:left w:val="outset" w:color="000000" w:sz="8"/>
              <w:bottom w:val="outset" w:color="000000" w:sz="8"/>
              <w:right w:val="outset" w:color="000000" w:sz="8"/>
            </w:tcBorders>
          </w:tcPr>
          <w:p/>
        </w:tc>
        <w:tc>
          <w:tcPr>
            <w:tcW w:w="0" w:type="auto"/>
            <w:vMerge/>
            <w:tcBorders>
              <w:top w:val="nil"/>
              <w:left w:val="outset" w:color="000000" w:sz="8"/>
              <w:bottom w:val="outset" w:color="000000" w:sz="8"/>
              <w:right w:val="outset" w:color="000000" w:sz="8"/>
            </w:tcBorders>
          </w:tcPr>
          <w:p/>
        </w:tc>
      </w:tr>
      <w:tr>
        <w:trPr>
          <w:trHeight w:val="241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Contingency,</w:t>
            </w:r>
            <w:r>
              <w:rPr>
                <w:rFonts w:ascii="Times New Roman" w:hAnsi="Times New Roman"/>
                <w:b/>
                <w:i w:val="false"/>
                <w:color w:val="000000"/>
                <w:sz w:val="22"/>
              </w:rPr>
              <w:t>Humanitarian, or</w:t>
            </w:r>
            <w:r>
              <w:rPr>
                <w:rFonts w:ascii="Times New Roman" w:hAnsi="Times New Roman"/>
                <w:b/>
                <w:i w:val="false"/>
                <w:color w:val="000000"/>
                <w:sz w:val="22"/>
              </w:rPr>
              <w:t>Peacekeeping</w:t>
            </w:r>
            <w:r>
              <w:rPr>
                <w:rFonts w:ascii="Times New Roman" w:hAnsi="Times New Roman"/>
                <w:b/>
                <w:i w:val="false"/>
                <w:color w:val="000000"/>
                <w:sz w:val="22"/>
              </w:rPr>
              <w:t>Operations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May be adjusted IAW applicable act or order</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 authorized by a specific appropriation or an Executive Order, the micro-purchase threshold may be adjusted in accordance with the applicable act or the order.</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(h)(4)DOD Guidebook</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Appendix I: GPC Thresholds (continued)</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394"/>
        <w:gridCol w:w="3394"/>
        <w:gridCol w:w="3393"/>
        <w:gridCol w:w="3393"/>
      </w:tblGrid>
      <w:tr>
        <w:trPr>
          <w:trHeight w:val="540"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GPC THRESHOLDS</w:t>
            </w:r>
            <w:r>
              <w:rPr>
                <w:rFonts w:ascii="Times New Roman" w:hAnsi="Times New Roman"/>
                <w:b/>
                <w:i w:val="false"/>
                <w:color w:val="000000"/>
                <w:sz w:val="22"/>
              </w:rPr>
              <w:t>(Continued)</w:t>
            </w:r>
          </w:p>
        </w:tc>
      </w:tr>
      <w:tr>
        <w:trPr>
          <w:trHeight w:val="54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THRESHOLD</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DESCRIPTION</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REFERENCE</w:t>
            </w:r>
          </w:p>
        </w:tc>
      </w:tr>
      <w:tr>
        <w:trPr>
          <w:trHeight w:val="5895" w:hRule="atLeast"/>
        </w:trPr>
        <w:tc>
          <w:tcPr>
            <w:tcW w:w="3394"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Commercial Training</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$25,000</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Off-the-shelf Training and Education</w:t>
            </w:r>
            <w:r>
              <w:rPr>
                <w:rFonts w:ascii="Times New Roman" w:hAnsi="Times New Roman"/>
                <w:b w:val="false"/>
                <w:i w:val="false"/>
                <w:color w:val="000000"/>
                <w:sz w:val="22"/>
              </w:rPr>
              <w:t xml:space="preserve"> - The GPC shall be used by training and education office personnel to pay for government, non-government and/or off-the-shelf training and education up to $25,000 for an individual or planned series of the same training event, activity, or course material. Advance payments are authorized under Tuition Assistance.</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(g)</w:t>
            </w:r>
          </w:p>
        </w:tc>
      </w:tr>
      <w:tr>
        <w:trPr>
          <w:trHeight w:val="295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Equal to invoice submitted by institution</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Military Tuition Assistance (MTA)</w:t>
            </w:r>
            <w:r>
              <w:rPr>
                <w:rFonts w:ascii="Times New Roman" w:hAnsi="Times New Roman"/>
                <w:b w:val="false"/>
                <w:i w:val="false"/>
                <w:color w:val="000000"/>
                <w:sz w:val="22"/>
              </w:rPr>
              <w:t xml:space="preserve"> - Single purchase limits for MTA is set commensurate to the level of the consolidated GPC invoice submitted by each university or college.</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(g)</w:t>
            </w:r>
          </w:p>
        </w:tc>
      </w:tr>
      <w:tr>
        <w:trPr>
          <w:trHeight w:val="348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Government to Government</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No thresholds when making payment with GPC: however, CHs can't exceed their delegated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requisitioning for supplies/services from other government sources (i.e. DLA Document Services, GSA stores or depots, DLA, Interagency Agreements), payment by GPC can be used up to the CHs delegated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5113.270-90(e)</w:t>
            </w:r>
          </w:p>
        </w:tc>
      </w:tr>
      <w:tr>
        <w:trPr>
          <w:trHeight w:val="751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w:t>
            </w:r>
            <w:r>
              <w:rPr>
                <w:rFonts w:ascii="Times New Roman" w:hAnsi="Times New Roman"/>
                <w:b/>
                <w:i w:val="false"/>
                <w:color w:val="000000"/>
                <w:sz w:val="22"/>
              </w:rPr>
              <w:t>LA Document</w:t>
            </w:r>
          </w:p>
          <w:p>
            <w:pPr>
              <w:pBdr>
                <w:top w:space="5"/>
                <w:left w:space="5"/>
                <w:bottom w:space="5"/>
                <w:right w:space="5"/>
              </w:pBdr>
              <w:spacing w:after="0"/>
              <w:ind w:left="240"/>
              <w:jc w:val="center"/>
            </w:pPr>
            <w:r>
              <w:rPr>
                <w:rFonts w:ascii="Times New Roman" w:hAnsi="Times New Roman"/>
                <w:b/>
                <w:i w:val="false"/>
                <w:color w:val="000000"/>
                <w:sz w:val="22"/>
              </w:rPr>
              <w:t>Services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Thresholds do not apply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Self-service copiers are used only when necessary to satisfy needs that are impractical for sending to DLA Document Services due to size or time constraints. The GPC is not used to purchase printing and reproduction services directly from a commercial vendor unless a waiver has been obtained through DLA Document Services. The Lighthouse for the Blind, Inc., and UNICOR, may be used (without a waiver) as an alternate source of procuring services when it is clearly less costly to the Army.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5113.270-90(e)AR 25-30</w:t>
            </w:r>
          </w:p>
        </w:tc>
      </w:tr>
      <w:tr>
        <w:trPr>
          <w:trHeight w:val="3600" w:hRule="atLeast"/>
        </w:trPr>
        <w:tc>
          <w:tcPr>
            <w:tcW w:w="3394"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Emergency Acquisition Flexibilities</w:t>
            </w:r>
          </w:p>
          <w:p>
            <w:pPr>
              <w:pBdr>
                <w:top w:space="5"/>
                <w:left w:space="5"/>
                <w:bottom w:space="5"/>
                <w:right w:space="5"/>
              </w:pBdr>
              <w:spacing w:after="0"/>
              <w:ind w:left="240"/>
              <w:jc w:val="center"/>
            </w:pPr>
            <w:r>
              <w:rPr>
                <w:rFonts w:ascii="Times New Roman" w:hAnsi="Times New Roman"/>
                <w:b/>
                <w:i w:val="false"/>
                <w:color w:val="000000"/>
                <w:sz w:val="22"/>
              </w:rPr>
              <w:t>Warranted Contracting Officer</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$300,000</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CONUS</w:t>
            </w:r>
          </w:p>
          <w:p>
            <w:pPr>
              <w:pBdr>
                <w:top w:space="5"/>
                <w:left w:space="5"/>
                <w:bottom w:space="5"/>
                <w:right w:space="5"/>
              </w:pBdr>
              <w:spacing w:after="0"/>
              <w:ind w:left="240"/>
              <w:jc w:val="left"/>
            </w:pPr>
            <w:r>
              <w:rPr>
                <w:rFonts w:ascii="Times New Roman" w:hAnsi="Times New Roman"/>
                <w:b/>
                <w:i w:val="false"/>
                <w:color w:val="000000"/>
                <w:sz w:val="22"/>
                <w:u w:val="single"/>
              </w:rPr>
              <w:t>Can't exceed SAT</w:t>
            </w:r>
          </w:p>
          <w:p>
            <w:pPr>
              <w:pBdr>
                <w:top w:space="5"/>
                <w:left w:space="5"/>
                <w:bottom w:space="5"/>
                <w:right w:space="5"/>
              </w:pBdr>
              <w:spacing w:after="0"/>
              <w:ind w:left="240"/>
              <w:jc w:val="left"/>
            </w:pPr>
            <w:r>
              <w:rPr>
                <w:rFonts w:ascii="Times New Roman" w:hAnsi="Times New Roman"/>
                <w:b w:val="false"/>
                <w:i w:val="false"/>
                <w:color w:val="000000"/>
                <w:sz w:val="22"/>
              </w:rPr>
              <w:t>1. Contingency Operation</w:t>
            </w:r>
          </w:p>
          <w:p>
            <w:pPr>
              <w:pBdr>
                <w:top w:space="5"/>
                <w:left w:space="5"/>
                <w:bottom w:space="5"/>
                <w:right w:space="5"/>
              </w:pBdr>
              <w:spacing w:after="0"/>
              <w:ind w:left="240"/>
              <w:jc w:val="left"/>
            </w:pPr>
            <w:r>
              <w:rPr>
                <w:rFonts w:ascii="Times New Roman" w:hAnsi="Times New Roman"/>
                <w:b w:val="false"/>
                <w:i w:val="false"/>
                <w:color w:val="000000"/>
                <w:sz w:val="22"/>
              </w:rPr>
              <w:t>2. Defense or Recovery from Certain Attacks (nuclear, biological, chemical, or radiological)</w:t>
            </w:r>
          </w:p>
        </w:tc>
        <w:tc>
          <w:tcPr>
            <w:tcW w:w="3393"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DFARS 213-301(3)FAR 2.101 "Definitions"10 U.S.C. 101(a)(13)10 U.S.C. §2302(8)41 U.S.C. §1903FAC 2005-45FAR Case 2008-024</w:t>
            </w:r>
          </w:p>
        </w:tc>
      </w:tr>
      <w:tr>
        <w:trPr>
          <w:trHeight w:val="3600"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$1,000,000</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OCONUS</w:t>
            </w:r>
          </w:p>
          <w:p>
            <w:pPr>
              <w:pBdr>
                <w:top w:space="5"/>
                <w:left w:space="5"/>
                <w:bottom w:space="5"/>
                <w:right w:space="5"/>
              </w:pBdr>
              <w:spacing w:after="0"/>
              <w:ind w:left="240"/>
              <w:jc w:val="left"/>
            </w:pPr>
            <w:r>
              <w:rPr>
                <w:rFonts w:ascii="Times New Roman" w:hAnsi="Times New Roman"/>
                <w:b/>
                <w:i w:val="false"/>
                <w:color w:val="000000"/>
                <w:sz w:val="22"/>
                <w:u w:val="single"/>
              </w:rPr>
              <w:t>Can't exceed SAT</w:t>
            </w:r>
          </w:p>
          <w:p>
            <w:pPr>
              <w:pBdr>
                <w:top w:space="5"/>
                <w:left w:space="5"/>
                <w:bottom w:space="5"/>
                <w:right w:space="5"/>
              </w:pBdr>
              <w:spacing w:after="0"/>
              <w:ind w:left="240"/>
              <w:jc w:val="left"/>
            </w:pPr>
            <w:r>
              <w:rPr>
                <w:rFonts w:ascii="Times New Roman" w:hAnsi="Times New Roman"/>
                <w:b w:val="false"/>
                <w:i w:val="false"/>
                <w:color w:val="000000"/>
                <w:sz w:val="22"/>
              </w:rPr>
              <w:t>1. Contingency Operation</w:t>
            </w:r>
          </w:p>
          <w:p>
            <w:pPr>
              <w:pBdr>
                <w:top w:space="5"/>
                <w:left w:space="5"/>
                <w:bottom w:space="5"/>
                <w:right w:space="5"/>
              </w:pBdr>
              <w:spacing w:after="0"/>
              <w:ind w:left="240"/>
              <w:jc w:val="left"/>
            </w:pPr>
            <w:r>
              <w:rPr>
                <w:rFonts w:ascii="Times New Roman" w:hAnsi="Times New Roman"/>
                <w:b w:val="false"/>
                <w:i w:val="false"/>
                <w:color w:val="000000"/>
                <w:sz w:val="22"/>
              </w:rPr>
              <w:t>2. Defense or Recovery from Certain Attacks (nuclear, biological, chemical, or radiological)</w:t>
            </w:r>
          </w:p>
        </w:tc>
        <w:tc>
          <w:tcPr>
            <w:tcW w:w="0" w:type="auto"/>
            <w:vMerge/>
            <w:tcBorders>
              <w:top w:val="nil"/>
              <w:left w:val="outset" w:color="000000" w:sz="8"/>
              <w:bottom w:val="outset" w:color="000000" w:sz="8"/>
              <w:right w:val="outset" w:color="000000" w:sz="8"/>
            </w:tcBorders>
          </w:tcPr>
          <w:p/>
        </w:tc>
      </w:tr>
      <w:tr>
        <w:trPr>
          <w:trHeight w:val="241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NAFI</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$50,000</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Purchases up to $50,000 maybe made from exchanges only (vice NAFI's) by overseas organizations and the purchase card can be used as a method of payment.</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(f)</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