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**ID__AFARS_Appendix-EE-Appendix-J__ID**</w:t>
      </w:r>
    </w:p>
    <w:p>
      <w:pPr>
        <w:pStyle w:val="Heading2"/>
        <w:spacing w:after="180"/>
        <w:ind w:left="120"/>
        <w:jc w:val="left"/>
      </w:pPr>
      <w:r>
        <w:rPr>
          <w:rFonts w:ascii="Times New Roman" w:hAnsi="Times New Roman"/>
          <w:color w:val="000000"/>
          <w:sz w:val="48"/>
        </w:rPr>
        <w:t>Appendix J</w:t>
      </w:r>
      <w:r>
        <w:rPr>
          <w:rFonts w:ascii="Times New Roman" w:hAnsi="Times New Roman"/>
          <w:color w:val="000000"/>
          <w:sz w:val="48"/>
        </w:rPr>
        <w:t>: Glossary – Sections I and II</w:t>
      </w:r>
    </w:p>
    <w:p>
      <w:pPr>
        <w:pBdr>
          <w:top w:space="5"/>
          <w:left w:space="5"/>
          <w:bottom w:space="5"/>
          <w:right w:space="5"/>
        </w:pBdr>
        <w:spacing w:after="0"/>
        <w:ind w:left="225"/>
        <w:jc w:val="left"/>
      </w:pPr>
      <w:r>
        <w:rPr>
          <w:rFonts w:ascii="Times New Roman" w:hAnsi="Times New Roman"/>
          <w:b/>
          <w:i w:val="false"/>
          <w:color w:val="000000"/>
          <w:sz w:val="22"/>
        </w:rPr>
        <w:t>Section I: Acronyms</w:t>
      </w:r>
    </w:p>
    <w:p>
      <w:pPr>
        <w:pBdr>
          <w:top w:space="5"/>
          <w:left w:space="5"/>
          <w:bottom w:space="5"/>
          <w:right w:space="5"/>
        </w:pBdr>
        <w:spacing w:after="0"/>
        <w:ind w:left="225"/>
        <w:jc w:val="left"/>
      </w:pPr>
      <w:r>
        <w:rPr>
          <w:rFonts w:ascii="Times New Roman" w:hAnsi="Times New Roman"/>
          <w:b/>
          <w:i w:val="false"/>
          <w:color w:val="000000"/>
          <w:sz w:val="22"/>
        </w:rPr>
        <w:t>ACOM</w:t>
      </w:r>
    </w:p>
    <w:p>
      <w:pPr>
        <w:pBdr>
          <w:top w:space="5"/>
          <w:left w:space="5"/>
          <w:bottom w:space="5"/>
          <w:right w:space="5"/>
        </w:pBdr>
        <w:spacing w:after="0"/>
        <w:ind w:left="225"/>
        <w:jc w:val="left"/>
      </w:pPr>
      <w:r>
        <w:rPr>
          <w:rFonts w:ascii="Times New Roman" w:hAnsi="Times New Roman"/>
          <w:b w:val="false"/>
          <w:i w:val="false"/>
          <w:color w:val="000000"/>
          <w:sz w:val="22"/>
        </w:rPr>
        <w:t>Army Command</w:t>
      </w:r>
    </w:p>
    <w:p>
      <w:pPr>
        <w:pBdr>
          <w:top w:space="5"/>
          <w:left w:space="5"/>
          <w:bottom w:space="5"/>
          <w:right w:space="5"/>
        </w:pBdr>
        <w:spacing w:after="0"/>
        <w:ind w:left="225"/>
        <w:jc w:val="left"/>
      </w:pPr>
      <w:r>
        <w:rPr>
          <w:rFonts w:ascii="Times New Roman" w:hAnsi="Times New Roman"/>
          <w:b/>
          <w:i w:val="false"/>
          <w:color w:val="000000"/>
          <w:sz w:val="22"/>
        </w:rPr>
        <w:t>AFARS</w:t>
      </w:r>
    </w:p>
    <w:p>
      <w:pPr>
        <w:pBdr>
          <w:top w:space="5"/>
          <w:left w:space="5"/>
          <w:bottom w:space="5"/>
          <w:right w:space="5"/>
        </w:pBdr>
        <w:spacing w:after="0"/>
        <w:ind w:left="225"/>
        <w:jc w:val="left"/>
      </w:pPr>
      <w:r>
        <w:rPr>
          <w:rFonts w:ascii="Times New Roman" w:hAnsi="Times New Roman"/>
          <w:b w:val="false"/>
          <w:i w:val="false"/>
          <w:color w:val="000000"/>
          <w:sz w:val="22"/>
        </w:rPr>
        <w:t>Army Federal Acquisition Regulation Supplement</w:t>
      </w:r>
    </w:p>
    <w:p>
      <w:pPr>
        <w:pBdr>
          <w:top w:space="5"/>
          <w:left w:space="5"/>
          <w:bottom w:space="5"/>
          <w:right w:space="5"/>
        </w:pBdr>
        <w:spacing w:after="0"/>
        <w:ind w:left="225"/>
        <w:jc w:val="left"/>
      </w:pPr>
      <w:r>
        <w:rPr>
          <w:rFonts w:ascii="Times New Roman" w:hAnsi="Times New Roman"/>
          <w:b/>
          <w:i w:val="false"/>
          <w:color w:val="000000"/>
          <w:sz w:val="22"/>
        </w:rPr>
        <w:t>A/OPC</w:t>
      </w:r>
    </w:p>
    <w:p>
      <w:pPr>
        <w:pBdr>
          <w:top w:space="5"/>
          <w:left w:space="5"/>
          <w:bottom w:space="5"/>
          <w:right w:space="5"/>
        </w:pBdr>
        <w:spacing w:after="0"/>
        <w:ind w:left="225"/>
        <w:jc w:val="left"/>
      </w:pPr>
      <w:r>
        <w:rPr>
          <w:rFonts w:ascii="Times New Roman" w:hAnsi="Times New Roman"/>
          <w:b w:val="false"/>
          <w:i w:val="false"/>
          <w:color w:val="000000"/>
          <w:sz w:val="22"/>
        </w:rPr>
        <w:t>Agency/Organization Program Coordinator</w:t>
      </w:r>
    </w:p>
    <w:p>
      <w:pPr>
        <w:pBdr>
          <w:top w:space="5"/>
          <w:left w:space="5"/>
          <w:bottom w:space="5"/>
          <w:right w:space="5"/>
        </w:pBdr>
        <w:spacing w:after="0"/>
        <w:ind w:left="225"/>
        <w:jc w:val="left"/>
      </w:pPr>
      <w:r>
        <w:rPr>
          <w:rFonts w:ascii="Times New Roman" w:hAnsi="Times New Roman"/>
          <w:b/>
          <w:i w:val="false"/>
          <w:color w:val="000000"/>
          <w:sz w:val="22"/>
        </w:rPr>
        <w:t>ARRA</w:t>
      </w:r>
    </w:p>
    <w:p>
      <w:pPr>
        <w:pBdr>
          <w:top w:space="5"/>
          <w:left w:space="5"/>
          <w:bottom w:space="5"/>
          <w:right w:space="5"/>
        </w:pBdr>
        <w:spacing w:after="0"/>
        <w:ind w:left="225"/>
        <w:jc w:val="left"/>
      </w:pPr>
      <w:r>
        <w:rPr>
          <w:rFonts w:ascii="Times New Roman" w:hAnsi="Times New Roman"/>
          <w:b w:val="false"/>
          <w:i w:val="false"/>
          <w:color w:val="000000"/>
          <w:sz w:val="22"/>
        </w:rPr>
        <w:t>American Recovery and Reinvestment Act</w:t>
      </w:r>
    </w:p>
    <w:p>
      <w:pPr>
        <w:pBdr>
          <w:top w:space="5"/>
          <w:left w:space="5"/>
          <w:bottom w:space="5"/>
          <w:right w:space="5"/>
        </w:pBdr>
        <w:spacing w:after="0"/>
        <w:ind w:left="225"/>
        <w:jc w:val="left"/>
      </w:pPr>
      <w:r>
        <w:rPr>
          <w:rFonts w:ascii="Times New Roman" w:hAnsi="Times New Roman"/>
          <w:b/>
          <w:i w:val="false"/>
          <w:color w:val="000000"/>
          <w:sz w:val="22"/>
        </w:rPr>
        <w:t>ASA(ALT)</w:t>
      </w:r>
    </w:p>
    <w:p>
      <w:pPr>
        <w:pBdr>
          <w:top w:space="5"/>
          <w:left w:space="5"/>
          <w:bottom w:space="5"/>
          <w:right w:space="5"/>
        </w:pBdr>
        <w:spacing w:after="0"/>
        <w:ind w:left="225"/>
        <w:jc w:val="left"/>
      </w:pPr>
      <w:r>
        <w:rPr>
          <w:rFonts w:ascii="Times New Roman" w:hAnsi="Times New Roman"/>
          <w:b w:val="false"/>
          <w:i w:val="false"/>
          <w:color w:val="000000"/>
          <w:sz w:val="22"/>
        </w:rPr>
        <w:t>Assistant Secretary of the Army (Acquisition, Logistics, and Technology)</w:t>
      </w:r>
    </w:p>
    <w:p>
      <w:pPr>
        <w:pBdr>
          <w:top w:space="5"/>
          <w:left w:space="5"/>
          <w:bottom w:space="5"/>
          <w:right w:space="5"/>
        </w:pBdr>
        <w:spacing w:after="0"/>
        <w:ind w:left="225"/>
        <w:jc w:val="left"/>
      </w:pPr>
      <w:r>
        <w:rPr>
          <w:rFonts w:ascii="Times New Roman" w:hAnsi="Times New Roman"/>
          <w:b/>
          <w:i w:val="false"/>
          <w:color w:val="000000"/>
          <w:sz w:val="22"/>
        </w:rPr>
        <w:t>AXOL</w:t>
      </w:r>
    </w:p>
    <w:p>
      <w:pPr>
        <w:pBdr>
          <w:top w:space="5"/>
          <w:left w:space="5"/>
          <w:bottom w:space="5"/>
          <w:right w:space="5"/>
        </w:pBdr>
        <w:spacing w:after="0"/>
        <w:ind w:left="225"/>
        <w:jc w:val="left"/>
      </w:pPr>
      <w:r>
        <w:rPr>
          <w:rFonts w:ascii="Times New Roman" w:hAnsi="Times New Roman"/>
          <w:b w:val="false"/>
          <w:i w:val="false"/>
          <w:color w:val="000000"/>
          <w:sz w:val="22"/>
        </w:rPr>
        <w:t>Access Online</w:t>
      </w:r>
    </w:p>
    <w:p>
      <w:pPr>
        <w:pBdr>
          <w:top w:space="5"/>
          <w:left w:space="5"/>
          <w:bottom w:space="5"/>
          <w:right w:space="5"/>
        </w:pBdr>
        <w:spacing w:after="0"/>
        <w:ind w:left="225"/>
        <w:jc w:val="left"/>
      </w:pPr>
      <w:r>
        <w:rPr>
          <w:rFonts w:ascii="Times New Roman" w:hAnsi="Times New Roman"/>
          <w:b/>
          <w:i w:val="false"/>
          <w:color w:val="000000"/>
          <w:sz w:val="22"/>
        </w:rPr>
        <w:t>BO</w:t>
      </w:r>
    </w:p>
    <w:p>
      <w:pPr>
        <w:pBdr>
          <w:top w:space="5"/>
          <w:left w:space="5"/>
          <w:bottom w:space="5"/>
          <w:right w:space="5"/>
        </w:pBdr>
        <w:spacing w:after="0"/>
        <w:ind w:left="225"/>
        <w:jc w:val="left"/>
      </w:pPr>
      <w:r>
        <w:rPr>
          <w:rFonts w:ascii="Times New Roman" w:hAnsi="Times New Roman"/>
          <w:b w:val="false"/>
          <w:i w:val="false"/>
          <w:color w:val="000000"/>
          <w:sz w:val="22"/>
        </w:rPr>
        <w:t>Billing Official</w:t>
      </w:r>
    </w:p>
    <w:p>
      <w:pPr>
        <w:pBdr>
          <w:top w:space="5"/>
          <w:left w:space="5"/>
          <w:bottom w:space="5"/>
          <w:right w:space="5"/>
        </w:pBdr>
        <w:spacing w:after="0"/>
        <w:ind w:left="225"/>
        <w:jc w:val="left"/>
      </w:pPr>
      <w:r>
        <w:rPr>
          <w:rFonts w:ascii="Times New Roman" w:hAnsi="Times New Roman"/>
          <w:b/>
          <w:i w:val="false"/>
          <w:color w:val="000000"/>
          <w:sz w:val="22"/>
        </w:rPr>
        <w:t>BPA</w:t>
      </w:r>
    </w:p>
    <w:p>
      <w:pPr>
        <w:pBdr>
          <w:top w:space="5"/>
          <w:left w:space="5"/>
          <w:bottom w:space="5"/>
          <w:right w:space="5"/>
        </w:pBdr>
        <w:spacing w:after="0"/>
        <w:ind w:left="225"/>
        <w:jc w:val="left"/>
      </w:pPr>
      <w:r>
        <w:rPr>
          <w:rFonts w:ascii="Times New Roman" w:hAnsi="Times New Roman"/>
          <w:b w:val="false"/>
          <w:i w:val="false"/>
          <w:color w:val="000000"/>
          <w:sz w:val="22"/>
        </w:rPr>
        <w:t>Blanket Purchase Agreement</w:t>
      </w:r>
    </w:p>
    <w:p>
      <w:pPr>
        <w:pBdr>
          <w:top w:space="5"/>
          <w:left w:space="5"/>
          <w:bottom w:space="5"/>
          <w:right w:space="5"/>
        </w:pBdr>
        <w:spacing w:after="0"/>
        <w:ind w:left="225"/>
        <w:jc w:val="left"/>
      </w:pPr>
      <w:r>
        <w:rPr>
          <w:rFonts w:ascii="Times New Roman" w:hAnsi="Times New Roman"/>
          <w:b/>
          <w:i w:val="false"/>
          <w:color w:val="000000"/>
          <w:sz w:val="22"/>
        </w:rPr>
        <w:t>CAP</w:t>
      </w:r>
    </w:p>
    <w:p>
      <w:pPr>
        <w:pBdr>
          <w:top w:space="5"/>
          <w:left w:space="5"/>
          <w:bottom w:space="5"/>
          <w:right w:space="5"/>
        </w:pBdr>
        <w:spacing w:after="0"/>
        <w:ind w:left="225"/>
        <w:jc w:val="left"/>
      </w:pPr>
      <w:r>
        <w:rPr>
          <w:rFonts w:ascii="Times New Roman" w:hAnsi="Times New Roman"/>
          <w:b w:val="false"/>
          <w:i w:val="false"/>
          <w:color w:val="000000"/>
          <w:sz w:val="22"/>
        </w:rPr>
        <w:t>Computer/Electronic Accommodations Program</w:t>
      </w:r>
    </w:p>
    <w:p>
      <w:pPr>
        <w:pBdr>
          <w:top w:space="5"/>
          <w:left w:space="5"/>
          <w:bottom w:space="5"/>
          <w:right w:space="5"/>
        </w:pBdr>
        <w:spacing w:after="0"/>
        <w:ind w:left="225"/>
        <w:jc w:val="left"/>
      </w:pPr>
      <w:r>
        <w:rPr>
          <w:rFonts w:ascii="Times New Roman" w:hAnsi="Times New Roman"/>
          <w:b/>
          <w:i w:val="false"/>
          <w:color w:val="000000"/>
          <w:sz w:val="22"/>
        </w:rPr>
        <w:t>CCO</w:t>
      </w:r>
    </w:p>
    <w:p>
      <w:pPr>
        <w:pBdr>
          <w:top w:space="5"/>
          <w:left w:space="5"/>
          <w:bottom w:space="5"/>
          <w:right w:space="5"/>
        </w:pBdr>
        <w:spacing w:after="0"/>
        <w:ind w:left="225"/>
        <w:jc w:val="left"/>
      </w:pPr>
      <w:r>
        <w:rPr>
          <w:rFonts w:ascii="Times New Roman" w:hAnsi="Times New Roman"/>
          <w:b w:val="false"/>
          <w:i w:val="false"/>
          <w:color w:val="000000"/>
          <w:sz w:val="22"/>
        </w:rPr>
        <w:t>Chief of Contracting Office</w:t>
      </w:r>
    </w:p>
    <w:p>
      <w:pPr>
        <w:pBdr>
          <w:top w:space="5"/>
          <w:left w:space="5"/>
          <w:bottom w:space="5"/>
          <w:right w:space="5"/>
        </w:pBdr>
        <w:spacing w:after="0"/>
        <w:ind w:left="225"/>
        <w:jc w:val="left"/>
      </w:pPr>
      <w:r>
        <w:rPr>
          <w:rFonts w:ascii="Times New Roman" w:hAnsi="Times New Roman"/>
          <w:b/>
          <w:i w:val="false"/>
          <w:color w:val="000000"/>
          <w:sz w:val="22"/>
        </w:rPr>
        <w:t>CH</w:t>
      </w:r>
    </w:p>
    <w:p>
      <w:pPr>
        <w:pBdr>
          <w:top w:space="5"/>
          <w:left w:space="5"/>
          <w:bottom w:space="5"/>
          <w:right w:space="5"/>
        </w:pBdr>
        <w:spacing w:after="0"/>
        <w:ind w:left="225"/>
        <w:jc w:val="left"/>
      </w:pPr>
      <w:r>
        <w:rPr>
          <w:rFonts w:ascii="Times New Roman" w:hAnsi="Times New Roman"/>
          <w:b w:val="false"/>
          <w:i w:val="false"/>
          <w:color w:val="000000"/>
          <w:sz w:val="22"/>
        </w:rPr>
        <w:t>Cardholder</w:t>
      </w:r>
    </w:p>
    <w:p>
      <w:pPr>
        <w:pBdr>
          <w:top w:space="5"/>
          <w:left w:space="5"/>
          <w:bottom w:space="5"/>
          <w:right w:space="5"/>
        </w:pBdr>
        <w:spacing w:after="0"/>
        <w:ind w:left="225"/>
        <w:jc w:val="left"/>
      </w:pPr>
      <w:r>
        <w:rPr>
          <w:rFonts w:ascii="Times New Roman" w:hAnsi="Times New Roman"/>
          <w:b/>
          <w:i w:val="false"/>
          <w:color w:val="000000"/>
          <w:sz w:val="22"/>
        </w:rPr>
        <w:t>CHESS</w:t>
      </w:r>
    </w:p>
    <w:p>
      <w:pPr>
        <w:pBdr>
          <w:top w:space="5"/>
          <w:left w:space="5"/>
          <w:bottom w:space="5"/>
          <w:right w:space="5"/>
        </w:pBdr>
        <w:spacing w:after="0"/>
        <w:ind w:left="225"/>
        <w:jc w:val="left"/>
      </w:pPr>
      <w:r>
        <w:rPr>
          <w:rFonts w:ascii="Times New Roman" w:hAnsi="Times New Roman"/>
          <w:b w:val="false"/>
          <w:i w:val="false"/>
          <w:color w:val="000000"/>
          <w:sz w:val="22"/>
        </w:rPr>
        <w:t>Computer Hardware, Software and Solutions</w:t>
      </w:r>
    </w:p>
    <w:p>
      <w:pPr>
        <w:pBdr>
          <w:top w:space="5"/>
          <w:left w:space="5"/>
          <w:bottom w:space="5"/>
          <w:right w:space="5"/>
        </w:pBdr>
        <w:spacing w:after="0"/>
        <w:ind w:left="225"/>
        <w:jc w:val="left"/>
      </w:pPr>
      <w:r>
        <w:rPr>
          <w:rFonts w:ascii="Times New Roman" w:hAnsi="Times New Roman"/>
          <w:b/>
          <w:i w:val="false"/>
          <w:color w:val="000000"/>
          <w:sz w:val="22"/>
        </w:rPr>
        <w:t>C.O.D.</w:t>
      </w:r>
    </w:p>
    <w:p>
      <w:pPr>
        <w:pBdr>
          <w:top w:space="5"/>
          <w:left w:space="5"/>
          <w:bottom w:space="5"/>
          <w:right w:space="5"/>
        </w:pBdr>
        <w:spacing w:after="0"/>
        <w:ind w:left="225"/>
        <w:jc w:val="left"/>
      </w:pPr>
      <w:r>
        <w:rPr>
          <w:rFonts w:ascii="Times New Roman" w:hAnsi="Times New Roman"/>
          <w:b w:val="false"/>
          <w:i w:val="false"/>
          <w:color w:val="000000"/>
          <w:sz w:val="22"/>
        </w:rPr>
        <w:t>Cash on delivery</w:t>
      </w:r>
    </w:p>
    <w:p>
      <w:pPr>
        <w:pBdr>
          <w:top w:space="5"/>
          <w:left w:space="5"/>
          <w:bottom w:space="5"/>
          <w:right w:space="5"/>
        </w:pBdr>
        <w:spacing w:after="0"/>
        <w:ind w:left="225"/>
        <w:jc w:val="left"/>
      </w:pPr>
      <w:r>
        <w:rPr>
          <w:rFonts w:ascii="Times New Roman" w:hAnsi="Times New Roman"/>
          <w:b/>
          <w:i w:val="false"/>
          <w:color w:val="000000"/>
          <w:sz w:val="22"/>
        </w:rPr>
        <w:t>DA</w:t>
      </w:r>
    </w:p>
    <w:p>
      <w:pPr>
        <w:pBdr>
          <w:top w:space="5"/>
          <w:left w:space="5"/>
          <w:bottom w:space="5"/>
          <w:right w:space="5"/>
        </w:pBdr>
        <w:spacing w:after="0"/>
        <w:ind w:left="225"/>
        <w:jc w:val="left"/>
      </w:pPr>
      <w:r>
        <w:rPr>
          <w:rFonts w:ascii="Times New Roman" w:hAnsi="Times New Roman"/>
          <w:b w:val="false"/>
          <w:i w:val="false"/>
          <w:color w:val="000000"/>
          <w:sz w:val="22"/>
        </w:rPr>
        <w:t>Department of the Army</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DAWIA</w:t>
      </w:r>
    </w:p>
    <w:p>
      <w:pPr>
        <w:pBdr>
          <w:top w:space="5"/>
          <w:left w:space="5"/>
          <w:bottom w:space="5"/>
          <w:right w:space="5"/>
        </w:pBdr>
        <w:spacing w:after="0"/>
        <w:ind w:left="225"/>
        <w:jc w:val="left"/>
      </w:pPr>
      <w:r>
        <w:rPr>
          <w:rFonts w:ascii="Times New Roman" w:hAnsi="Times New Roman"/>
          <w:b w:val="false"/>
          <w:i w:val="false"/>
          <w:color w:val="000000"/>
          <w:sz w:val="22"/>
        </w:rPr>
        <w:t>Defense Acquisition Workforce Improvement Act</w:t>
      </w:r>
    </w:p>
    <w:p>
      <w:pPr>
        <w:pBdr>
          <w:top w:space="5"/>
          <w:left w:space="5"/>
          <w:bottom w:space="5"/>
          <w:right w:space="5"/>
        </w:pBdr>
        <w:spacing w:after="0"/>
        <w:ind w:left="225"/>
        <w:jc w:val="left"/>
      </w:pPr>
      <w:r>
        <w:rPr>
          <w:rFonts w:ascii="Times New Roman" w:hAnsi="Times New Roman"/>
          <w:b/>
          <w:i w:val="false"/>
          <w:color w:val="000000"/>
          <w:sz w:val="22"/>
        </w:rPr>
        <w:t>DAU</w:t>
      </w:r>
    </w:p>
    <w:p>
      <w:pPr>
        <w:pBdr>
          <w:top w:space="5"/>
          <w:left w:space="5"/>
          <w:bottom w:space="5"/>
          <w:right w:space="5"/>
        </w:pBdr>
        <w:spacing w:after="0"/>
        <w:ind w:left="225"/>
        <w:jc w:val="left"/>
      </w:pPr>
      <w:r>
        <w:rPr>
          <w:rFonts w:ascii="Times New Roman" w:hAnsi="Times New Roman"/>
          <w:b/>
          <w:i w:val="false"/>
          <w:color w:val="000000"/>
          <w:sz w:val="22"/>
        </w:rPr>
        <w:t>DFARS</w:t>
      </w:r>
    </w:p>
    <w:p>
      <w:pPr>
        <w:pBdr>
          <w:top w:space="5"/>
          <w:left w:space="5"/>
          <w:bottom w:space="5"/>
          <w:right w:space="5"/>
        </w:pBdr>
        <w:spacing w:after="0"/>
        <w:ind w:left="225"/>
        <w:jc w:val="left"/>
      </w:pPr>
      <w:r>
        <w:rPr>
          <w:rFonts w:ascii="Times New Roman" w:hAnsi="Times New Roman"/>
          <w:b w:val="false"/>
          <w:i w:val="false"/>
          <w:color w:val="000000"/>
          <w:sz w:val="22"/>
        </w:rPr>
        <w:t>Defense Federal Acquisition Regulation Supplement</w:t>
      </w:r>
    </w:p>
    <w:p>
      <w:pPr>
        <w:pBdr>
          <w:top w:space="5"/>
          <w:left w:space="5"/>
          <w:bottom w:space="5"/>
          <w:right w:space="5"/>
        </w:pBdr>
        <w:spacing w:after="0"/>
        <w:ind w:left="225"/>
        <w:jc w:val="left"/>
      </w:pPr>
      <w:r>
        <w:rPr>
          <w:rFonts w:ascii="Times New Roman" w:hAnsi="Times New Roman"/>
          <w:b/>
          <w:i w:val="false"/>
          <w:color w:val="000000"/>
          <w:sz w:val="22"/>
        </w:rPr>
        <w:t>DFAS</w:t>
      </w:r>
    </w:p>
    <w:p>
      <w:pPr>
        <w:pBdr>
          <w:top w:space="5"/>
          <w:left w:space="5"/>
          <w:bottom w:space="5"/>
          <w:right w:space="5"/>
        </w:pBdr>
        <w:spacing w:after="0"/>
        <w:ind w:left="225"/>
        <w:jc w:val="left"/>
      </w:pPr>
      <w:r>
        <w:rPr>
          <w:rFonts w:ascii="Times New Roman" w:hAnsi="Times New Roman"/>
          <w:b w:val="false"/>
          <w:i w:val="false"/>
          <w:color w:val="000000"/>
          <w:sz w:val="22"/>
        </w:rPr>
        <w:t>Defense Finance and Accounting Service</w:t>
      </w:r>
    </w:p>
    <w:p>
      <w:pPr>
        <w:pBdr>
          <w:top w:space="5"/>
          <w:left w:space="5"/>
          <w:bottom w:space="5"/>
          <w:right w:space="5"/>
        </w:pBdr>
        <w:spacing w:after="0"/>
        <w:ind w:left="225"/>
        <w:jc w:val="left"/>
      </w:pPr>
      <w:r>
        <w:rPr>
          <w:rFonts w:ascii="Times New Roman" w:hAnsi="Times New Roman"/>
          <w:b/>
          <w:i w:val="false"/>
          <w:color w:val="000000"/>
          <w:sz w:val="22"/>
        </w:rPr>
        <w:t>DOD</w:t>
      </w:r>
    </w:p>
    <w:p>
      <w:pPr>
        <w:pBdr>
          <w:top w:space="5"/>
          <w:left w:space="5"/>
          <w:bottom w:space="5"/>
          <w:right w:space="5"/>
        </w:pBdr>
        <w:spacing w:after="0"/>
        <w:ind w:left="225"/>
        <w:jc w:val="left"/>
      </w:pPr>
      <w:r>
        <w:rPr>
          <w:rFonts w:ascii="Times New Roman" w:hAnsi="Times New Roman"/>
          <w:b w:val="false"/>
          <w:i w:val="false"/>
          <w:color w:val="000000"/>
          <w:sz w:val="22"/>
        </w:rPr>
        <w:t>Department of Defense</w:t>
      </w:r>
    </w:p>
    <w:p>
      <w:pPr>
        <w:pBdr>
          <w:top w:space="5"/>
          <w:left w:space="5"/>
          <w:bottom w:space="5"/>
          <w:right w:space="5"/>
        </w:pBdr>
        <w:spacing w:after="0"/>
        <w:ind w:left="225"/>
        <w:jc w:val="left"/>
      </w:pPr>
      <w:r>
        <w:rPr>
          <w:rFonts w:ascii="Times New Roman" w:hAnsi="Times New Roman"/>
          <w:b/>
          <w:i w:val="false"/>
          <w:color w:val="000000"/>
          <w:sz w:val="22"/>
        </w:rPr>
        <w:t>DD Form</w:t>
      </w:r>
    </w:p>
    <w:p>
      <w:pPr>
        <w:pBdr>
          <w:top w:space="5"/>
          <w:left w:space="5"/>
          <w:bottom w:space="5"/>
          <w:right w:space="5"/>
        </w:pBdr>
        <w:spacing w:after="0"/>
        <w:ind w:left="225"/>
        <w:jc w:val="left"/>
      </w:pPr>
      <w:r>
        <w:rPr>
          <w:rFonts w:ascii="Times New Roman" w:hAnsi="Times New Roman"/>
          <w:b w:val="false"/>
          <w:i w:val="false"/>
          <w:color w:val="000000"/>
          <w:sz w:val="22"/>
        </w:rPr>
        <w:t>Department of Defense Form</w:t>
      </w:r>
    </w:p>
    <w:p>
      <w:pPr>
        <w:pBdr>
          <w:top w:space="5"/>
          <w:left w:space="5"/>
          <w:bottom w:space="5"/>
          <w:right w:space="5"/>
        </w:pBdr>
        <w:spacing w:after="0"/>
        <w:ind w:left="225"/>
        <w:jc w:val="left"/>
      </w:pPr>
      <w:r>
        <w:rPr>
          <w:rFonts w:ascii="Times New Roman" w:hAnsi="Times New Roman"/>
          <w:b/>
          <w:i w:val="false"/>
          <w:color w:val="000000"/>
          <w:sz w:val="22"/>
        </w:rPr>
        <w:t>DTMO</w:t>
      </w:r>
    </w:p>
    <w:p>
      <w:pPr>
        <w:pBdr>
          <w:top w:space="5"/>
          <w:left w:space="5"/>
          <w:bottom w:space="5"/>
          <w:right w:space="5"/>
        </w:pBdr>
        <w:spacing w:after="0"/>
        <w:ind w:left="225"/>
        <w:jc w:val="left"/>
      </w:pPr>
      <w:r>
        <w:rPr>
          <w:rFonts w:ascii="Times New Roman" w:hAnsi="Times New Roman"/>
          <w:b w:val="false"/>
          <w:i w:val="false"/>
          <w:color w:val="000000"/>
          <w:sz w:val="22"/>
        </w:rPr>
        <w:t>Defense Travel Management Office</w:t>
      </w:r>
    </w:p>
    <w:p>
      <w:pPr>
        <w:pBdr>
          <w:top w:space="5"/>
          <w:left w:space="5"/>
          <w:bottom w:space="5"/>
          <w:right w:space="5"/>
        </w:pBdr>
        <w:spacing w:after="0"/>
        <w:ind w:left="225"/>
        <w:jc w:val="left"/>
      </w:pPr>
      <w:r>
        <w:rPr>
          <w:rFonts w:ascii="Times New Roman" w:hAnsi="Times New Roman"/>
          <w:b/>
          <w:i w:val="false"/>
          <w:color w:val="000000"/>
          <w:sz w:val="22"/>
        </w:rPr>
        <w:t>DSN</w:t>
      </w:r>
    </w:p>
    <w:p>
      <w:pPr>
        <w:pBdr>
          <w:top w:space="5"/>
          <w:left w:space="5"/>
          <w:bottom w:space="5"/>
          <w:right w:space="5"/>
        </w:pBdr>
        <w:spacing w:after="0"/>
        <w:ind w:left="225"/>
        <w:jc w:val="left"/>
      </w:pPr>
      <w:r>
        <w:rPr>
          <w:rFonts w:ascii="Times New Roman" w:hAnsi="Times New Roman"/>
          <w:b w:val="false"/>
          <w:i w:val="false"/>
          <w:color w:val="000000"/>
          <w:sz w:val="22"/>
        </w:rPr>
        <w:t>Defense Switched Network</w:t>
      </w:r>
    </w:p>
    <w:p>
      <w:pPr>
        <w:pBdr>
          <w:top w:space="5"/>
          <w:left w:space="5"/>
          <w:bottom w:space="5"/>
          <w:right w:space="5"/>
        </w:pBdr>
        <w:spacing w:after="0"/>
        <w:ind w:left="225"/>
        <w:jc w:val="left"/>
      </w:pPr>
      <w:r>
        <w:rPr>
          <w:rFonts w:ascii="Times New Roman" w:hAnsi="Times New Roman"/>
          <w:b/>
          <w:i w:val="false"/>
          <w:color w:val="000000"/>
          <w:sz w:val="22"/>
        </w:rPr>
        <w:t>EAS</w:t>
      </w:r>
    </w:p>
    <w:p>
      <w:pPr>
        <w:pBdr>
          <w:top w:space="5"/>
          <w:left w:space="5"/>
          <w:bottom w:space="5"/>
          <w:right w:space="5"/>
        </w:pBdr>
        <w:spacing w:after="0"/>
        <w:ind w:left="225"/>
        <w:jc w:val="left"/>
      </w:pPr>
      <w:r>
        <w:rPr>
          <w:rFonts w:ascii="Times New Roman" w:hAnsi="Times New Roman"/>
          <w:b w:val="false"/>
          <w:i w:val="false"/>
          <w:color w:val="000000"/>
          <w:sz w:val="22"/>
        </w:rPr>
        <w:t>Electronic Access System</w:t>
      </w:r>
    </w:p>
    <w:p>
      <w:pPr>
        <w:pBdr>
          <w:top w:space="5"/>
          <w:left w:space="5"/>
          <w:bottom w:space="5"/>
          <w:right w:space="5"/>
        </w:pBdr>
        <w:spacing w:after="0"/>
        <w:ind w:left="225"/>
        <w:jc w:val="left"/>
      </w:pPr>
      <w:r>
        <w:rPr>
          <w:rFonts w:ascii="Times New Roman" w:hAnsi="Times New Roman"/>
          <w:b/>
          <w:i w:val="false"/>
          <w:color w:val="000000"/>
          <w:sz w:val="22"/>
        </w:rPr>
        <w:t>EEO</w:t>
      </w:r>
    </w:p>
    <w:p>
      <w:pPr>
        <w:pBdr>
          <w:top w:space="5"/>
          <w:left w:space="5"/>
          <w:bottom w:space="5"/>
          <w:right w:space="5"/>
        </w:pBdr>
        <w:spacing w:after="0"/>
        <w:ind w:left="225"/>
        <w:jc w:val="left"/>
      </w:pPr>
      <w:r>
        <w:rPr>
          <w:rFonts w:ascii="Times New Roman" w:hAnsi="Times New Roman"/>
          <w:b w:val="false"/>
          <w:i w:val="false"/>
          <w:color w:val="000000"/>
          <w:sz w:val="22"/>
        </w:rPr>
        <w:t>Equal Employment Opportunity</w:t>
      </w:r>
    </w:p>
    <w:p>
      <w:pPr>
        <w:pBdr>
          <w:top w:space="5"/>
          <w:left w:space="5"/>
          <w:bottom w:space="5"/>
          <w:right w:space="5"/>
        </w:pBdr>
        <w:spacing w:after="0"/>
        <w:ind w:left="225"/>
        <w:jc w:val="left"/>
      </w:pPr>
      <w:r>
        <w:rPr>
          <w:rFonts w:ascii="Times New Roman" w:hAnsi="Times New Roman"/>
          <w:b/>
          <w:i w:val="false"/>
          <w:color w:val="000000"/>
          <w:sz w:val="22"/>
        </w:rPr>
        <w:t>EDI</w:t>
      </w:r>
    </w:p>
    <w:p>
      <w:pPr>
        <w:pBdr>
          <w:top w:space="5"/>
          <w:left w:space="5"/>
          <w:bottom w:space="5"/>
          <w:right w:space="5"/>
        </w:pBdr>
        <w:spacing w:after="0"/>
        <w:ind w:left="225"/>
        <w:jc w:val="left"/>
      </w:pPr>
      <w:r>
        <w:rPr>
          <w:rFonts w:ascii="Times New Roman" w:hAnsi="Times New Roman"/>
          <w:b w:val="false"/>
          <w:i w:val="false"/>
          <w:color w:val="000000"/>
          <w:sz w:val="22"/>
        </w:rPr>
        <w:t>Electronic Data Interchange</w:t>
      </w:r>
    </w:p>
    <w:p>
      <w:pPr>
        <w:pBdr>
          <w:top w:space="5"/>
          <w:left w:space="5"/>
          <w:bottom w:space="5"/>
          <w:right w:space="5"/>
        </w:pBdr>
        <w:spacing w:after="0"/>
        <w:ind w:left="225"/>
        <w:jc w:val="left"/>
      </w:pPr>
      <w:r>
        <w:rPr>
          <w:rFonts w:ascii="Times New Roman" w:hAnsi="Times New Roman"/>
          <w:b/>
          <w:i w:val="false"/>
          <w:color w:val="000000"/>
          <w:sz w:val="22"/>
        </w:rPr>
        <w:t>FAR</w:t>
      </w:r>
    </w:p>
    <w:p>
      <w:pPr>
        <w:pBdr>
          <w:top w:space="5"/>
          <w:left w:space="5"/>
          <w:bottom w:space="5"/>
          <w:right w:space="5"/>
        </w:pBdr>
        <w:spacing w:after="0"/>
        <w:ind w:left="225"/>
        <w:jc w:val="left"/>
      </w:pPr>
      <w:r>
        <w:rPr>
          <w:rFonts w:ascii="Times New Roman" w:hAnsi="Times New Roman"/>
          <w:b w:val="false"/>
          <w:i w:val="false"/>
          <w:color w:val="000000"/>
          <w:sz w:val="22"/>
        </w:rPr>
        <w:t>Federal Acquisition Regulation</w:t>
      </w:r>
    </w:p>
    <w:p>
      <w:pPr>
        <w:pBdr>
          <w:top w:space="5"/>
          <w:left w:space="5"/>
          <w:bottom w:space="5"/>
          <w:right w:space="5"/>
        </w:pBdr>
        <w:spacing w:after="0"/>
        <w:ind w:left="225"/>
        <w:jc w:val="left"/>
      </w:pPr>
      <w:r>
        <w:rPr>
          <w:rFonts w:ascii="Times New Roman" w:hAnsi="Times New Roman"/>
          <w:b/>
          <w:i w:val="false"/>
          <w:color w:val="000000"/>
          <w:sz w:val="22"/>
        </w:rPr>
        <w:t>FDC</w:t>
      </w:r>
    </w:p>
    <w:p>
      <w:pPr>
        <w:pBdr>
          <w:top w:space="5"/>
          <w:left w:space="5"/>
          <w:bottom w:space="5"/>
          <w:right w:space="5"/>
        </w:pBdr>
        <w:spacing w:after="0"/>
        <w:ind w:left="225"/>
        <w:jc w:val="left"/>
      </w:pPr>
      <w:r>
        <w:rPr>
          <w:rFonts w:ascii="Times New Roman" w:hAnsi="Times New Roman"/>
          <w:b w:val="false"/>
          <w:i w:val="false"/>
          <w:color w:val="000000"/>
          <w:sz w:val="22"/>
        </w:rPr>
        <w:t>Foreign Draft Checks</w:t>
      </w:r>
    </w:p>
    <w:p>
      <w:pPr>
        <w:pBdr>
          <w:top w:space="5"/>
          <w:left w:space="5"/>
          <w:bottom w:space="5"/>
          <w:right w:space="5"/>
        </w:pBdr>
        <w:spacing w:after="0"/>
        <w:ind w:left="225"/>
        <w:jc w:val="left"/>
      </w:pPr>
      <w:r>
        <w:rPr>
          <w:rFonts w:ascii="Times New Roman" w:hAnsi="Times New Roman"/>
          <w:b/>
          <w:i w:val="false"/>
          <w:color w:val="000000"/>
          <w:sz w:val="22"/>
        </w:rPr>
        <w:t>FORSCOM</w:t>
      </w:r>
    </w:p>
    <w:p>
      <w:pPr>
        <w:pBdr>
          <w:top w:space="5"/>
          <w:left w:space="5"/>
          <w:bottom w:space="5"/>
          <w:right w:space="5"/>
        </w:pBdr>
        <w:spacing w:after="0"/>
        <w:ind w:left="225"/>
        <w:jc w:val="left"/>
      </w:pPr>
      <w:r>
        <w:rPr>
          <w:rFonts w:ascii="Times New Roman" w:hAnsi="Times New Roman"/>
          <w:b w:val="false"/>
          <w:i w:val="false"/>
          <w:color w:val="000000"/>
          <w:sz w:val="22"/>
        </w:rPr>
        <w:t>Forces Command</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FMR</w:t>
      </w:r>
    </w:p>
    <w:p>
      <w:pPr>
        <w:pBdr>
          <w:top w:space="5"/>
          <w:left w:space="5"/>
          <w:bottom w:space="5"/>
          <w:right w:space="5"/>
        </w:pBdr>
        <w:spacing w:after="0"/>
        <w:ind w:left="225"/>
        <w:jc w:val="left"/>
      </w:pPr>
      <w:r>
        <w:rPr>
          <w:rFonts w:ascii="Times New Roman" w:hAnsi="Times New Roman"/>
          <w:b w:val="false"/>
          <w:i w:val="false"/>
          <w:color w:val="000000"/>
          <w:sz w:val="22"/>
        </w:rPr>
        <w:t>Financial Management Regulation</w:t>
      </w:r>
    </w:p>
    <w:p>
      <w:pPr>
        <w:pBdr>
          <w:top w:space="5"/>
          <w:left w:space="5"/>
          <w:bottom w:space="5"/>
          <w:right w:space="5"/>
        </w:pBdr>
        <w:spacing w:after="0"/>
        <w:ind w:left="225"/>
        <w:jc w:val="left"/>
      </w:pPr>
      <w:r>
        <w:rPr>
          <w:rFonts w:ascii="Times New Roman" w:hAnsi="Times New Roman"/>
          <w:b/>
          <w:i w:val="false"/>
          <w:color w:val="000000"/>
          <w:sz w:val="22"/>
        </w:rPr>
        <w:t>FPDS-NG</w:t>
      </w:r>
    </w:p>
    <w:p>
      <w:pPr>
        <w:pBdr>
          <w:top w:space="5"/>
          <w:left w:space="5"/>
          <w:bottom w:space="5"/>
          <w:right w:space="5"/>
        </w:pBdr>
        <w:spacing w:after="0"/>
        <w:ind w:left="225"/>
        <w:jc w:val="left"/>
      </w:pPr>
      <w:r>
        <w:rPr>
          <w:rFonts w:ascii="Times New Roman" w:hAnsi="Times New Roman"/>
          <w:b w:val="false"/>
          <w:i w:val="false"/>
          <w:color w:val="000000"/>
          <w:sz w:val="22"/>
        </w:rPr>
        <w:t>Federal Procurement Data System – Next Generation</w:t>
      </w:r>
    </w:p>
    <w:p>
      <w:pPr>
        <w:pBdr>
          <w:top w:space="5"/>
          <w:left w:space="5"/>
          <w:bottom w:space="5"/>
          <w:right w:space="5"/>
        </w:pBdr>
        <w:spacing w:after="0"/>
        <w:ind w:left="225"/>
        <w:jc w:val="left"/>
      </w:pPr>
      <w:r>
        <w:rPr>
          <w:rFonts w:ascii="Times New Roman" w:hAnsi="Times New Roman"/>
          <w:b/>
          <w:i w:val="false"/>
          <w:color w:val="000000"/>
          <w:sz w:val="22"/>
        </w:rPr>
        <w:t>GAO</w:t>
      </w:r>
    </w:p>
    <w:p>
      <w:pPr>
        <w:pBdr>
          <w:top w:space="5"/>
          <w:left w:space="5"/>
          <w:bottom w:space="5"/>
          <w:right w:space="5"/>
        </w:pBdr>
        <w:spacing w:after="0"/>
        <w:ind w:left="225"/>
        <w:jc w:val="left"/>
      </w:pPr>
      <w:r>
        <w:rPr>
          <w:rFonts w:ascii="Times New Roman" w:hAnsi="Times New Roman"/>
          <w:b w:val="false"/>
          <w:i w:val="false"/>
          <w:color w:val="000000"/>
          <w:sz w:val="22"/>
        </w:rPr>
        <w:t>Government Accountability Office</w:t>
      </w:r>
    </w:p>
    <w:p>
      <w:pPr>
        <w:pBdr>
          <w:top w:space="5"/>
          <w:left w:space="5"/>
          <w:bottom w:space="5"/>
          <w:right w:space="5"/>
        </w:pBdr>
        <w:spacing w:after="0"/>
        <w:ind w:left="225"/>
        <w:jc w:val="left"/>
      </w:pPr>
      <w:r>
        <w:rPr>
          <w:rFonts w:ascii="Times New Roman" w:hAnsi="Times New Roman"/>
          <w:b/>
          <w:i w:val="false"/>
          <w:color w:val="000000"/>
          <w:sz w:val="22"/>
        </w:rPr>
        <w:t>GFEBS</w:t>
      </w:r>
    </w:p>
    <w:p>
      <w:pPr>
        <w:pBdr>
          <w:top w:space="5"/>
          <w:left w:space="5"/>
          <w:bottom w:space="5"/>
          <w:right w:space="5"/>
        </w:pBdr>
        <w:spacing w:after="0"/>
        <w:ind w:left="225"/>
        <w:jc w:val="left"/>
      </w:pPr>
      <w:r>
        <w:rPr>
          <w:rFonts w:ascii="Times New Roman" w:hAnsi="Times New Roman"/>
          <w:b w:val="false"/>
          <w:i w:val="false"/>
          <w:color w:val="000000"/>
          <w:sz w:val="22"/>
        </w:rPr>
        <w:t>General Financial Business System</w:t>
      </w:r>
    </w:p>
    <w:p>
      <w:pPr>
        <w:pBdr>
          <w:top w:space="5"/>
          <w:left w:space="5"/>
          <w:bottom w:space="5"/>
          <w:right w:space="5"/>
        </w:pBdr>
        <w:spacing w:after="0"/>
        <w:ind w:left="225"/>
        <w:jc w:val="left"/>
      </w:pPr>
      <w:r>
        <w:rPr>
          <w:rFonts w:ascii="Times New Roman" w:hAnsi="Times New Roman"/>
          <w:b/>
          <w:i w:val="false"/>
          <w:color w:val="000000"/>
          <w:sz w:val="22"/>
        </w:rPr>
        <w:t>GPC</w:t>
      </w:r>
    </w:p>
    <w:p>
      <w:pPr>
        <w:pBdr>
          <w:top w:space="5"/>
          <w:left w:space="5"/>
          <w:bottom w:space="5"/>
          <w:right w:space="5"/>
        </w:pBdr>
        <w:spacing w:after="0"/>
        <w:ind w:left="225"/>
        <w:jc w:val="left"/>
      </w:pPr>
      <w:r>
        <w:rPr>
          <w:rFonts w:ascii="Times New Roman" w:hAnsi="Times New Roman"/>
          <w:b w:val="false"/>
          <w:i w:val="false"/>
          <w:color w:val="000000"/>
          <w:sz w:val="22"/>
        </w:rPr>
        <w:t>Government Purchase Card</w:t>
      </w:r>
    </w:p>
    <w:p>
      <w:pPr>
        <w:pBdr>
          <w:top w:space="5"/>
          <w:left w:space="5"/>
          <w:bottom w:space="5"/>
          <w:right w:space="5"/>
        </w:pBdr>
        <w:spacing w:after="0"/>
        <w:ind w:left="225"/>
        <w:jc w:val="left"/>
      </w:pPr>
      <w:r>
        <w:rPr>
          <w:rFonts w:ascii="Times New Roman" w:hAnsi="Times New Roman"/>
          <w:b/>
          <w:i w:val="false"/>
          <w:color w:val="000000"/>
          <w:sz w:val="22"/>
        </w:rPr>
        <w:t>GSA</w:t>
      </w:r>
    </w:p>
    <w:p>
      <w:pPr>
        <w:pBdr>
          <w:top w:space="5"/>
          <w:left w:space="5"/>
          <w:bottom w:space="5"/>
          <w:right w:space="5"/>
        </w:pBdr>
        <w:spacing w:after="0"/>
        <w:ind w:left="225"/>
        <w:jc w:val="left"/>
      </w:pPr>
      <w:r>
        <w:rPr>
          <w:rFonts w:ascii="Times New Roman" w:hAnsi="Times New Roman"/>
          <w:b w:val="false"/>
          <w:i w:val="false"/>
          <w:color w:val="000000"/>
          <w:sz w:val="22"/>
        </w:rPr>
        <w:t>General Services Administration</w:t>
      </w:r>
    </w:p>
    <w:p>
      <w:pPr>
        <w:pBdr>
          <w:top w:space="5"/>
          <w:left w:space="5"/>
          <w:bottom w:space="5"/>
          <w:right w:space="5"/>
        </w:pBdr>
        <w:spacing w:after="0"/>
        <w:ind w:left="225"/>
        <w:jc w:val="left"/>
      </w:pPr>
      <w:r>
        <w:rPr>
          <w:rFonts w:ascii="Times New Roman" w:hAnsi="Times New Roman"/>
          <w:b/>
          <w:i w:val="false"/>
          <w:color w:val="000000"/>
          <w:sz w:val="22"/>
        </w:rPr>
        <w:t>HA</w:t>
      </w:r>
    </w:p>
    <w:p>
      <w:pPr>
        <w:pBdr>
          <w:top w:space="5"/>
          <w:left w:space="5"/>
          <w:bottom w:space="5"/>
          <w:right w:space="5"/>
        </w:pBdr>
        <w:spacing w:after="0"/>
        <w:ind w:left="225"/>
        <w:jc w:val="left"/>
      </w:pPr>
      <w:r>
        <w:rPr>
          <w:rFonts w:ascii="Times New Roman" w:hAnsi="Times New Roman"/>
          <w:b w:val="false"/>
          <w:i w:val="false"/>
          <w:color w:val="000000"/>
          <w:sz w:val="22"/>
        </w:rPr>
        <w:t>Head of Activity</w:t>
      </w:r>
    </w:p>
    <w:p>
      <w:pPr>
        <w:pBdr>
          <w:top w:space="5"/>
          <w:left w:space="5"/>
          <w:bottom w:space="5"/>
          <w:right w:space="5"/>
        </w:pBdr>
        <w:spacing w:after="0"/>
        <w:ind w:left="225"/>
        <w:jc w:val="left"/>
      </w:pPr>
      <w:r>
        <w:rPr>
          <w:rFonts w:ascii="Times New Roman" w:hAnsi="Times New Roman"/>
          <w:b/>
          <w:i w:val="false"/>
          <w:color w:val="000000"/>
          <w:sz w:val="22"/>
        </w:rPr>
        <w:t>IRS</w:t>
      </w:r>
    </w:p>
    <w:p>
      <w:pPr>
        <w:pBdr>
          <w:top w:space="5"/>
          <w:left w:space="5"/>
          <w:bottom w:space="5"/>
          <w:right w:space="5"/>
        </w:pBdr>
        <w:spacing w:after="0"/>
        <w:ind w:left="225"/>
        <w:jc w:val="left"/>
      </w:pPr>
      <w:r>
        <w:rPr>
          <w:rFonts w:ascii="Times New Roman" w:hAnsi="Times New Roman"/>
          <w:b w:val="false"/>
          <w:i w:val="false"/>
          <w:color w:val="000000"/>
          <w:sz w:val="22"/>
        </w:rPr>
        <w:t>Internal Revenue Service</w:t>
      </w:r>
    </w:p>
    <w:p>
      <w:pPr>
        <w:pBdr>
          <w:top w:space="5"/>
          <w:left w:space="5"/>
          <w:bottom w:space="5"/>
          <w:right w:space="5"/>
        </w:pBdr>
        <w:spacing w:after="0"/>
        <w:ind w:left="225"/>
        <w:jc w:val="left"/>
      </w:pPr>
      <w:r>
        <w:rPr>
          <w:rFonts w:ascii="Times New Roman" w:hAnsi="Times New Roman"/>
          <w:b/>
          <w:i w:val="false"/>
          <w:color w:val="000000"/>
          <w:sz w:val="22"/>
        </w:rPr>
        <w:t>IT</w:t>
      </w:r>
    </w:p>
    <w:p>
      <w:pPr>
        <w:pBdr>
          <w:top w:space="5"/>
          <w:left w:space="5"/>
          <w:bottom w:space="5"/>
          <w:right w:space="5"/>
        </w:pBdr>
        <w:spacing w:after="0"/>
        <w:ind w:left="225"/>
        <w:jc w:val="left"/>
      </w:pPr>
      <w:r>
        <w:rPr>
          <w:rFonts w:ascii="Times New Roman" w:hAnsi="Times New Roman"/>
          <w:b w:val="false"/>
          <w:i w:val="false"/>
          <w:color w:val="000000"/>
          <w:sz w:val="22"/>
        </w:rPr>
        <w:t>Information Technology</w:t>
      </w:r>
    </w:p>
    <w:p>
      <w:pPr>
        <w:pBdr>
          <w:top w:space="5"/>
          <w:left w:space="5"/>
          <w:bottom w:space="5"/>
          <w:right w:space="5"/>
        </w:pBdr>
        <w:spacing w:after="0"/>
        <w:ind w:left="225"/>
        <w:jc w:val="left"/>
      </w:pPr>
      <w:r>
        <w:rPr>
          <w:rFonts w:ascii="Times New Roman" w:hAnsi="Times New Roman"/>
          <w:b/>
          <w:i w:val="false"/>
          <w:color w:val="000000"/>
          <w:sz w:val="22"/>
        </w:rPr>
        <w:t>JWOD</w:t>
      </w:r>
      <w:r>
        <w:rPr>
          <w:rFonts w:ascii="Times New Roman" w:hAnsi="Times New Roman"/>
          <w:b w:val="false"/>
          <w:i w:val="false"/>
          <w:color w:val="000000"/>
          <w:sz w:val="22"/>
        </w:rPr>
        <w:t>Javits-Wagner-O’Day</w:t>
      </w:r>
    </w:p>
    <w:p>
      <w:pPr>
        <w:pBdr>
          <w:top w:space="5"/>
          <w:left w:space="5"/>
          <w:bottom w:space="5"/>
          <w:right w:space="5"/>
        </w:pBdr>
        <w:spacing w:after="0"/>
        <w:ind w:left="225"/>
        <w:jc w:val="left"/>
      </w:pPr>
      <w:r>
        <w:rPr>
          <w:rFonts w:ascii="Times New Roman" w:hAnsi="Times New Roman"/>
          <w:b/>
          <w:i w:val="false"/>
          <w:color w:val="000000"/>
          <w:sz w:val="22"/>
        </w:rPr>
        <w:t>MCC</w:t>
      </w:r>
    </w:p>
    <w:p>
      <w:pPr>
        <w:pBdr>
          <w:top w:space="5"/>
          <w:left w:space="5"/>
          <w:bottom w:space="5"/>
          <w:right w:space="5"/>
        </w:pBdr>
        <w:spacing w:after="0"/>
        <w:ind w:left="225"/>
        <w:jc w:val="left"/>
      </w:pPr>
      <w:r>
        <w:rPr>
          <w:rFonts w:ascii="Times New Roman" w:hAnsi="Times New Roman"/>
          <w:b w:val="false"/>
          <w:i w:val="false"/>
          <w:color w:val="000000"/>
          <w:sz w:val="22"/>
        </w:rPr>
        <w:t>Merchant Category Code</w:t>
      </w:r>
    </w:p>
    <w:p>
      <w:pPr>
        <w:pBdr>
          <w:top w:space="5"/>
          <w:left w:space="5"/>
          <w:bottom w:space="5"/>
          <w:right w:space="5"/>
        </w:pBdr>
        <w:spacing w:after="0"/>
        <w:ind w:left="225"/>
        <w:jc w:val="left"/>
      </w:pPr>
      <w:r>
        <w:rPr>
          <w:rFonts w:ascii="Times New Roman" w:hAnsi="Times New Roman"/>
          <w:b/>
          <w:i w:val="false"/>
          <w:color w:val="000000"/>
          <w:sz w:val="22"/>
        </w:rPr>
        <w:t>MBA</w:t>
      </w:r>
    </w:p>
    <w:p>
      <w:pPr>
        <w:pBdr>
          <w:top w:space="5"/>
          <w:left w:space="5"/>
          <w:bottom w:space="5"/>
          <w:right w:space="5"/>
        </w:pBdr>
        <w:spacing w:after="0"/>
        <w:ind w:left="225"/>
        <w:jc w:val="left"/>
      </w:pPr>
      <w:r>
        <w:rPr>
          <w:rFonts w:ascii="Times New Roman" w:hAnsi="Times New Roman"/>
          <w:b w:val="false"/>
          <w:i w:val="false"/>
          <w:color w:val="000000"/>
          <w:sz w:val="22"/>
        </w:rPr>
        <w:t>Military Bus Agreement</w:t>
      </w:r>
    </w:p>
    <w:p>
      <w:pPr>
        <w:pBdr>
          <w:top w:space="5"/>
          <w:left w:space="5"/>
          <w:bottom w:space="5"/>
          <w:right w:space="5"/>
        </w:pBdr>
        <w:spacing w:after="0"/>
        <w:ind w:left="225"/>
        <w:jc w:val="left"/>
      </w:pPr>
      <w:r>
        <w:rPr>
          <w:rFonts w:ascii="Times New Roman" w:hAnsi="Times New Roman"/>
          <w:b/>
          <w:i w:val="false"/>
          <w:color w:val="000000"/>
          <w:sz w:val="22"/>
        </w:rPr>
        <w:t>OCONUS</w:t>
      </w:r>
    </w:p>
    <w:p>
      <w:pPr>
        <w:pBdr>
          <w:top w:space="5"/>
          <w:left w:space="5"/>
          <w:bottom w:space="5"/>
          <w:right w:space="5"/>
        </w:pBdr>
        <w:spacing w:after="0"/>
        <w:ind w:left="225"/>
        <w:jc w:val="left"/>
      </w:pPr>
      <w:r>
        <w:rPr>
          <w:rFonts w:ascii="Times New Roman" w:hAnsi="Times New Roman"/>
          <w:b w:val="false"/>
          <w:i w:val="false"/>
          <w:color w:val="000000"/>
          <w:sz w:val="22"/>
        </w:rPr>
        <w:t>Outside the Continental United States</w:t>
      </w:r>
    </w:p>
    <w:p>
      <w:pPr>
        <w:pBdr>
          <w:top w:space="5"/>
          <w:left w:space="5"/>
          <w:bottom w:space="5"/>
          <w:right w:space="5"/>
        </w:pBdr>
        <w:spacing w:after="0"/>
        <w:ind w:left="225"/>
        <w:jc w:val="left"/>
      </w:pPr>
      <w:r>
        <w:rPr>
          <w:rFonts w:ascii="Times New Roman" w:hAnsi="Times New Roman"/>
          <w:b/>
          <w:i w:val="false"/>
          <w:color w:val="000000"/>
          <w:sz w:val="22"/>
        </w:rPr>
        <w:t>OMB</w:t>
      </w:r>
    </w:p>
    <w:p>
      <w:pPr>
        <w:pBdr>
          <w:top w:space="5"/>
          <w:left w:space="5"/>
          <w:bottom w:space="5"/>
          <w:right w:space="5"/>
        </w:pBdr>
        <w:spacing w:after="0"/>
        <w:ind w:left="225"/>
        <w:jc w:val="left"/>
      </w:pPr>
      <w:r>
        <w:rPr>
          <w:rFonts w:ascii="Times New Roman" w:hAnsi="Times New Roman"/>
          <w:b w:val="false"/>
          <w:i w:val="false"/>
          <w:color w:val="000000"/>
          <w:sz w:val="22"/>
        </w:rPr>
        <w:t>Office of Management and Budget</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SCO</w:t>
      </w:r>
    </w:p>
    <w:p>
      <w:pPr>
        <w:pBdr>
          <w:top w:space="5"/>
          <w:left w:space="5"/>
          <w:bottom w:space="5"/>
          <w:right w:space="5"/>
        </w:pBdr>
        <w:spacing w:after="0"/>
        <w:ind w:left="225"/>
        <w:jc w:val="left"/>
      </w:pPr>
      <w:r>
        <w:rPr>
          <w:rFonts w:ascii="Times New Roman" w:hAnsi="Times New Roman"/>
          <w:b w:val="false"/>
          <w:i w:val="false"/>
          <w:color w:val="000000"/>
          <w:sz w:val="22"/>
        </w:rPr>
        <w:t>Senior Contracting Official</w:t>
      </w:r>
    </w:p>
    <w:p>
      <w:pPr>
        <w:pBdr>
          <w:top w:space="5"/>
          <w:left w:space="5"/>
          <w:bottom w:space="5"/>
          <w:right w:space="5"/>
        </w:pBdr>
        <w:spacing w:after="0"/>
        <w:ind w:left="225"/>
        <w:jc w:val="left"/>
      </w:pPr>
      <w:r>
        <w:rPr>
          <w:rFonts w:ascii="Times New Roman" w:hAnsi="Times New Roman"/>
          <w:b/>
          <w:i w:val="false"/>
          <w:color w:val="000000"/>
          <w:sz w:val="22"/>
        </w:rPr>
        <w:t>PAM</w:t>
      </w:r>
    </w:p>
    <w:p>
      <w:pPr>
        <w:pBdr>
          <w:top w:space="5"/>
          <w:left w:space="5"/>
          <w:bottom w:space="5"/>
          <w:right w:space="5"/>
        </w:pBdr>
        <w:spacing w:after="0"/>
        <w:ind w:left="225"/>
        <w:jc w:val="left"/>
      </w:pPr>
      <w:r>
        <w:rPr>
          <w:rFonts w:ascii="Times New Roman" w:hAnsi="Times New Roman"/>
          <w:b w:val="false"/>
          <w:i w:val="false"/>
          <w:color w:val="000000"/>
          <w:sz w:val="22"/>
        </w:rPr>
        <w:t>Pamphlet</w:t>
      </w:r>
    </w:p>
    <w:p>
      <w:pPr>
        <w:pBdr>
          <w:top w:space="5"/>
          <w:left w:space="5"/>
          <w:bottom w:space="5"/>
          <w:right w:space="5"/>
        </w:pBdr>
        <w:spacing w:after="0"/>
        <w:ind w:left="225"/>
        <w:jc w:val="left"/>
      </w:pPr>
      <w:r>
        <w:rPr>
          <w:rFonts w:ascii="Times New Roman" w:hAnsi="Times New Roman"/>
          <w:b/>
          <w:i w:val="false"/>
          <w:color w:val="000000"/>
          <w:sz w:val="22"/>
        </w:rPr>
        <w:t>PBO</w:t>
      </w:r>
    </w:p>
    <w:p>
      <w:pPr>
        <w:pBdr>
          <w:top w:space="5"/>
          <w:left w:space="5"/>
          <w:bottom w:space="5"/>
          <w:right w:space="5"/>
        </w:pBdr>
        <w:spacing w:after="0"/>
        <w:ind w:left="225"/>
        <w:jc w:val="left"/>
      </w:pPr>
      <w:r>
        <w:rPr>
          <w:rFonts w:ascii="Times New Roman" w:hAnsi="Times New Roman"/>
          <w:b w:val="false"/>
          <w:i w:val="false"/>
          <w:color w:val="000000"/>
          <w:sz w:val="22"/>
        </w:rPr>
        <w:t>Property Book Officer</w:t>
      </w:r>
    </w:p>
    <w:p>
      <w:pPr>
        <w:pBdr>
          <w:top w:space="5"/>
          <w:left w:space="5"/>
          <w:bottom w:space="5"/>
          <w:right w:space="5"/>
        </w:pBdr>
        <w:spacing w:after="0"/>
        <w:ind w:left="225"/>
        <w:jc w:val="left"/>
      </w:pPr>
      <w:r>
        <w:rPr>
          <w:rFonts w:ascii="Times New Roman" w:hAnsi="Times New Roman"/>
          <w:b/>
          <w:i w:val="false"/>
          <w:color w:val="000000"/>
          <w:sz w:val="22"/>
        </w:rPr>
        <w:t>PCOLS</w:t>
      </w:r>
    </w:p>
    <w:p>
      <w:pPr>
        <w:pBdr>
          <w:top w:space="5"/>
          <w:left w:space="5"/>
          <w:bottom w:space="5"/>
          <w:right w:space="5"/>
        </w:pBdr>
        <w:spacing w:after="0"/>
        <w:ind w:left="225"/>
        <w:jc w:val="left"/>
      </w:pPr>
      <w:r>
        <w:rPr>
          <w:rFonts w:ascii="Times New Roman" w:hAnsi="Times New Roman"/>
          <w:b w:val="false"/>
          <w:i w:val="false"/>
          <w:color w:val="000000"/>
          <w:sz w:val="22"/>
        </w:rPr>
        <w:t>Purchase Card Online System</w:t>
      </w:r>
    </w:p>
    <w:p>
      <w:pPr>
        <w:pBdr>
          <w:top w:space="5"/>
          <w:left w:space="5"/>
          <w:bottom w:space="5"/>
          <w:right w:space="5"/>
        </w:pBdr>
        <w:spacing w:after="0"/>
        <w:ind w:left="225"/>
        <w:jc w:val="left"/>
      </w:pPr>
      <w:r>
        <w:rPr>
          <w:rFonts w:ascii="Times New Roman" w:hAnsi="Times New Roman"/>
          <w:b/>
          <w:i w:val="false"/>
          <w:color w:val="000000"/>
          <w:sz w:val="22"/>
        </w:rPr>
        <w:t>PCPMO</w:t>
      </w:r>
    </w:p>
    <w:p>
      <w:pPr>
        <w:pBdr>
          <w:top w:space="5"/>
          <w:left w:space="5"/>
          <w:bottom w:space="5"/>
          <w:right w:space="5"/>
        </w:pBdr>
        <w:spacing w:after="0"/>
        <w:ind w:left="225"/>
        <w:jc w:val="left"/>
      </w:pPr>
      <w:r>
        <w:rPr>
          <w:rFonts w:ascii="Times New Roman" w:hAnsi="Times New Roman"/>
          <w:b w:val="false"/>
          <w:i w:val="false"/>
          <w:color w:val="000000"/>
          <w:sz w:val="22"/>
        </w:rPr>
        <w:t>Purchase Card Program Management Office</w:t>
      </w:r>
    </w:p>
    <w:p>
      <w:pPr>
        <w:pBdr>
          <w:top w:space="5"/>
          <w:left w:space="5"/>
          <w:bottom w:space="5"/>
          <w:right w:space="5"/>
        </w:pBdr>
        <w:spacing w:after="0"/>
        <w:ind w:left="225"/>
        <w:jc w:val="left"/>
      </w:pPr>
      <w:r>
        <w:rPr>
          <w:rFonts w:ascii="Times New Roman" w:hAnsi="Times New Roman"/>
          <w:b/>
          <w:i w:val="false"/>
          <w:color w:val="000000"/>
          <w:sz w:val="22"/>
        </w:rPr>
        <w:t>RM</w:t>
      </w:r>
    </w:p>
    <w:p>
      <w:pPr>
        <w:pBdr>
          <w:top w:space="5"/>
          <w:left w:space="5"/>
          <w:bottom w:space="5"/>
          <w:right w:space="5"/>
        </w:pBdr>
        <w:spacing w:after="0"/>
        <w:ind w:left="225"/>
        <w:jc w:val="left"/>
      </w:pPr>
      <w:r>
        <w:rPr>
          <w:rFonts w:ascii="Times New Roman" w:hAnsi="Times New Roman"/>
          <w:b w:val="false"/>
          <w:i w:val="false"/>
          <w:color w:val="000000"/>
          <w:sz w:val="22"/>
        </w:rPr>
        <w:t>Resource Manager</w:t>
      </w:r>
    </w:p>
    <w:p>
      <w:pPr>
        <w:pBdr>
          <w:top w:space="5"/>
          <w:left w:space="5"/>
          <w:bottom w:space="5"/>
          <w:right w:space="5"/>
        </w:pBdr>
        <w:spacing w:after="0"/>
        <w:ind w:left="225"/>
        <w:jc w:val="left"/>
      </w:pPr>
      <w:r>
        <w:rPr>
          <w:rFonts w:ascii="Times New Roman" w:hAnsi="Times New Roman"/>
          <w:b/>
          <w:i w:val="false"/>
          <w:color w:val="000000"/>
          <w:sz w:val="22"/>
        </w:rPr>
        <w:t>SDDC</w:t>
      </w:r>
    </w:p>
    <w:p>
      <w:pPr>
        <w:pBdr>
          <w:top w:space="5"/>
          <w:left w:space="5"/>
          <w:bottom w:space="5"/>
          <w:right w:space="5"/>
        </w:pBdr>
        <w:spacing w:after="0"/>
        <w:ind w:left="225"/>
        <w:jc w:val="left"/>
      </w:pPr>
      <w:r>
        <w:rPr>
          <w:rFonts w:ascii="Times New Roman" w:hAnsi="Times New Roman"/>
          <w:b w:val="false"/>
          <w:i w:val="false"/>
          <w:color w:val="000000"/>
          <w:sz w:val="22"/>
        </w:rPr>
        <w:t>Surface Deployment and Distribution Command</w:t>
      </w:r>
    </w:p>
    <w:p>
      <w:pPr>
        <w:pBdr>
          <w:top w:space="5"/>
          <w:left w:space="5"/>
          <w:bottom w:space="5"/>
          <w:right w:space="5"/>
        </w:pBdr>
        <w:spacing w:after="0"/>
        <w:ind w:left="225"/>
        <w:jc w:val="left"/>
      </w:pPr>
      <w:r>
        <w:rPr>
          <w:rFonts w:ascii="Times New Roman" w:hAnsi="Times New Roman"/>
          <w:b/>
          <w:i w:val="false"/>
          <w:color w:val="000000"/>
          <w:sz w:val="22"/>
        </w:rPr>
        <w:t>SF</w:t>
      </w:r>
    </w:p>
    <w:p>
      <w:pPr>
        <w:pBdr>
          <w:top w:space="5"/>
          <w:left w:space="5"/>
          <w:bottom w:space="5"/>
          <w:right w:space="5"/>
        </w:pBdr>
        <w:spacing w:after="0"/>
        <w:ind w:left="225"/>
        <w:jc w:val="left"/>
      </w:pPr>
      <w:r>
        <w:rPr>
          <w:rFonts w:ascii="Times New Roman" w:hAnsi="Times New Roman"/>
          <w:b w:val="false"/>
          <w:i w:val="false"/>
          <w:color w:val="000000"/>
          <w:sz w:val="22"/>
        </w:rPr>
        <w:t>Standard Form</w:t>
      </w:r>
    </w:p>
    <w:p>
      <w:pPr>
        <w:pBdr>
          <w:top w:space="5"/>
          <w:left w:space="5"/>
          <w:bottom w:space="5"/>
          <w:right w:space="5"/>
        </w:pBdr>
        <w:spacing w:after="0"/>
        <w:ind w:left="225"/>
        <w:jc w:val="left"/>
      </w:pPr>
      <w:r>
        <w:rPr>
          <w:rFonts w:ascii="Times New Roman" w:hAnsi="Times New Roman"/>
          <w:b/>
          <w:i w:val="false"/>
          <w:color w:val="000000"/>
          <w:sz w:val="22"/>
        </w:rPr>
        <w:t>TRP</w:t>
      </w:r>
    </w:p>
    <w:p>
      <w:pPr>
        <w:pBdr>
          <w:top w:space="5"/>
          <w:left w:space="5"/>
          <w:bottom w:space="5"/>
          <w:right w:space="5"/>
        </w:pBdr>
        <w:spacing w:after="0"/>
        <w:ind w:left="225"/>
        <w:jc w:val="left"/>
      </w:pPr>
      <w:r>
        <w:rPr>
          <w:rFonts w:ascii="Times New Roman" w:hAnsi="Times New Roman"/>
          <w:b w:val="false"/>
          <w:i w:val="false"/>
          <w:color w:val="000000"/>
          <w:sz w:val="22"/>
        </w:rPr>
        <w:t>Tax Reporting Process</w:t>
      </w:r>
    </w:p>
    <w:p>
      <w:pPr>
        <w:pBdr>
          <w:top w:space="5"/>
          <w:left w:space="5"/>
          <w:bottom w:space="5"/>
          <w:right w:space="5"/>
        </w:pBdr>
        <w:spacing w:after="0"/>
        <w:ind w:left="225"/>
        <w:jc w:val="left"/>
      </w:pPr>
      <w:r>
        <w:rPr>
          <w:rFonts w:ascii="Times New Roman" w:hAnsi="Times New Roman"/>
          <w:b/>
          <w:i w:val="false"/>
          <w:color w:val="000000"/>
          <w:sz w:val="22"/>
        </w:rPr>
        <w:t>U.S.C.</w:t>
      </w:r>
    </w:p>
    <w:p>
      <w:pPr>
        <w:pBdr>
          <w:top w:space="5"/>
          <w:left w:space="5"/>
          <w:bottom w:space="5"/>
          <w:right w:space="5"/>
        </w:pBdr>
        <w:spacing w:after="0"/>
        <w:ind w:left="225"/>
        <w:jc w:val="left"/>
      </w:pPr>
      <w:r>
        <w:rPr>
          <w:rFonts w:ascii="Times New Roman" w:hAnsi="Times New Roman"/>
          <w:b w:val="false"/>
          <w:i w:val="false"/>
          <w:color w:val="000000"/>
          <w:sz w:val="22"/>
        </w:rPr>
        <w:t>Code</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Section II</w:t>
      </w:r>
    </w:p>
    <w:p>
      <w:pPr>
        <w:pBdr>
          <w:top w:space="5"/>
          <w:left w:space="5"/>
          <w:bottom w:space="5"/>
          <w:right w:space="5"/>
        </w:pBdr>
        <w:spacing w:after="0"/>
        <w:ind w:left="225"/>
        <w:jc w:val="left"/>
      </w:pPr>
      <w:r>
        <w:rPr>
          <w:rFonts w:ascii="Times New Roman" w:hAnsi="Times New Roman"/>
          <w:b/>
          <w:i w:val="false"/>
          <w:color w:val="000000"/>
          <w:sz w:val="22"/>
        </w:rPr>
        <w:t>Terms</w:t>
      </w:r>
    </w:p>
    <w:p>
      <w:pPr>
        <w:pBdr>
          <w:top w:space="5"/>
          <w:left w:space="5"/>
          <w:bottom w:space="5"/>
          <w:right w:space="5"/>
        </w:pBdr>
        <w:spacing w:after="0"/>
        <w:ind w:left="225"/>
        <w:jc w:val="left"/>
      </w:pPr>
      <w:r>
        <w:rPr>
          <w:rFonts w:ascii="Times New Roman" w:hAnsi="Times New Roman"/>
          <w:b w:val="false"/>
          <w:i w:val="false"/>
          <w:color w:val="000000"/>
          <w:sz w:val="22"/>
        </w:rPr>
        <w:t>The following definitions are provided for terms used in this regulation. Other definitions that are not detailed below are contained in the training manuals provided by the Servicing Bank.</w:t>
      </w:r>
    </w:p>
    <w:p>
      <w:pPr>
        <w:pBdr>
          <w:top w:space="5"/>
          <w:left w:space="5"/>
          <w:bottom w:space="5"/>
          <w:right w:space="5"/>
        </w:pBdr>
        <w:spacing w:after="0"/>
        <w:ind w:left="225"/>
        <w:jc w:val="left"/>
      </w:pPr>
      <w:r>
        <w:rPr>
          <w:rFonts w:ascii="Times New Roman" w:hAnsi="Times New Roman"/>
          <w:b/>
          <w:i w:val="false"/>
          <w:color w:val="000000"/>
          <w:sz w:val="22"/>
        </w:rPr>
        <w:t>AbilityOne</w:t>
      </w:r>
      <w:r>
        <w:rPr>
          <w:rFonts w:ascii="Times New Roman" w:hAnsi="Times New Roman"/>
          <w:b/>
          <w:i w:val="false"/>
          <w:color w:val="000000"/>
          <w:sz w:val="22"/>
        </w:rPr>
        <w:t>Program</w:t>
      </w:r>
      <w:r>
        <w:rPr>
          <w:rFonts w:ascii="Times New Roman" w:hAnsi="Times New Roman"/>
          <w:b w:val="false"/>
          <w:i w:val="false"/>
          <w:color w:val="000000"/>
          <w:sz w:val="22"/>
        </w:rPr>
        <w:t xml:space="preserve"> - FAR Subpart 8.7 - formerly Javits-Wagner-O’Day (JWOD), this socioeconomic program provides </w:t>
      </w:r>
      <w:r>
        <w:rPr>
          <w:rFonts w:ascii="Times New Roman" w:hAnsi="Times New Roman"/>
          <w:b w:val="false"/>
          <w:i w:val="false"/>
          <w:color w:val="000000"/>
          <w:sz w:val="22"/>
        </w:rPr>
        <w:t>employment opportunities for over 40,000 Americans who are blind or have other severe disabilities by orchestrating government purchases of products and services provided by nonprofit agencies employing such individuals throughout the country.</w:t>
      </w:r>
      <w:r>
        <w:rPr>
          <w:rFonts w:ascii="Times New Roman" w:hAnsi="Times New Roman"/>
          <w:b w:val="false"/>
          <w:i w:val="false"/>
          <w:color w:val="000000"/>
          <w:sz w:val="22"/>
        </w:rPr>
        <w:t xml:space="preserve"> The Committee for Purchase from People Who Are Blind or Severely Disabled statute, (41 U.S.C.§ 8501-8506) requires the Government to purchase supplies or services on the Procurement List, at prices established by the Committee, from AbilityOne participating nonprofit agencies if they are available within the period required.</w:t>
      </w:r>
    </w:p>
    <w:p>
      <w:pPr>
        <w:pBdr>
          <w:top w:space="5"/>
          <w:left w:space="5"/>
          <w:bottom w:space="5"/>
          <w:right w:space="5"/>
        </w:pBdr>
        <w:spacing w:after="0"/>
        <w:ind w:left="225"/>
        <w:jc w:val="left"/>
      </w:pPr>
      <w:r>
        <w:rPr>
          <w:rFonts w:ascii="Times New Roman" w:hAnsi="Times New Roman"/>
          <w:b/>
          <w:i w:val="false"/>
          <w:color w:val="000000"/>
          <w:sz w:val="22"/>
        </w:rPr>
        <w:t>Accountable Official (AO)</w:t>
      </w:r>
      <w:r>
        <w:rPr>
          <w:rFonts w:ascii="Times New Roman" w:hAnsi="Times New Roman"/>
          <w:b w:val="false"/>
          <w:i w:val="false"/>
          <w:color w:val="000000"/>
          <w:sz w:val="22"/>
        </w:rPr>
        <w:t xml:space="preserve"> -A member of DOD, military or civilian personnel, designated in writing and not otherwise accountable under applicable law, who provides source information, data, or service (such as an RO, a CH, and an Automated Information System Administrator) to a reviewing or disbursing official in support of the payment process. The AO has pecuniary liability for erroneous payments resulting from his/her negligent actions.</w:t>
      </w:r>
    </w:p>
    <w:p>
      <w:pPr>
        <w:pBdr>
          <w:top w:space="5"/>
          <w:left w:space="5"/>
          <w:bottom w:space="5"/>
          <w:right w:space="5"/>
        </w:pBdr>
        <w:spacing w:after="0"/>
        <w:ind w:left="225"/>
        <w:jc w:val="left"/>
      </w:pPr>
      <w:r>
        <w:rPr>
          <w:rFonts w:ascii="Times New Roman" w:hAnsi="Times New Roman"/>
          <w:b/>
          <w:i w:val="false"/>
          <w:color w:val="000000"/>
          <w:sz w:val="22"/>
        </w:rPr>
        <w:t>Accountable Property</w:t>
      </w:r>
      <w:r>
        <w:rPr>
          <w:rFonts w:ascii="Times New Roman" w:hAnsi="Times New Roman"/>
          <w:b w:val="false"/>
          <w:i w:val="false"/>
          <w:color w:val="000000"/>
          <w:sz w:val="22"/>
        </w:rPr>
        <w:t xml:space="preserve"> - Army Regulation 735-5 - A term used to identify property recorded in a formal property management or accounting system. Accountable property includes all property purchased, leased (capital leases), or otherwise obtained having a unit acquisition cost of $5,000 or more (land, regardless of cost), and items that are sensitive. Sensitive items require a high degree of protection and control due to statutory requirements or regulations, such as narcotics and drug abuse items; precious metals; items which are of a high value, highly technical, or a hazardous nature; and small arms, ammunition, explosives, and demolition material or classified (See Volume 10, Table 61 of DOD 4100.39-M reference (k)). Additional and/or separate records or other record keeping instruments shall be established for management purposes, or when otherwise required by law, policy, regulation, or agency direction, including, but not limited to pilferable items. Pilferable items have a ready resale value or application to personal possession and are, therefore, especially subject to theft. Screening by the Property Book Officer (PBO) is required to determine the accounting requirements of the purchased property. The installation PBO provides guidance on specific local property accountability procedures to the A/OPC, BOs, and CHs related to GPC purchases.</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i w:val="false"/>
          <w:color w:val="000000"/>
          <w:sz w:val="22"/>
        </w:rPr>
        <w:t>Agency/Organization Program Coordinator (A/OPC)</w:t>
      </w:r>
      <w:r>
        <w:rPr>
          <w:rFonts w:ascii="Times New Roman" w:hAnsi="Times New Roman"/>
          <w:b w:val="false"/>
          <w:i w:val="false"/>
          <w:color w:val="000000"/>
          <w:sz w:val="22"/>
        </w:rPr>
        <w:t xml:space="preserve"> - A Government employee responsible for the implementation and execution of his/her agency/organization</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purchase card program in accordance with established regulations, policies and procedures. The A/OPC has overall administration to include developing and implementing policy, establishing and making changes to accounts, as well as training CHs and BOs. Multiple levels of Agency/Organization Program Coordinators exist at different hierarchical levels within the program for each agency/organization.</w:t>
      </w:r>
    </w:p>
    <w:p>
      <w:pPr>
        <w:pBdr>
          <w:top w:space="5"/>
          <w:left w:space="5"/>
          <w:bottom w:space="5"/>
          <w:right w:space="5"/>
        </w:pBdr>
        <w:spacing w:after="0"/>
        <w:ind w:left="225"/>
        <w:jc w:val="left"/>
      </w:pPr>
      <w:r>
        <w:rPr>
          <w:rFonts w:ascii="Times New Roman" w:hAnsi="Times New Roman"/>
          <w:b/>
          <w:i w:val="false"/>
          <w:color w:val="000000"/>
          <w:sz w:val="22"/>
        </w:rPr>
        <w:t>Assessable Unit Manager</w:t>
      </w:r>
      <w:r>
        <w:rPr>
          <w:rFonts w:ascii="Times New Roman" w:hAnsi="Times New Roman"/>
          <w:b w:val="false"/>
          <w:i w:val="false"/>
          <w:color w:val="000000"/>
          <w:sz w:val="22"/>
        </w:rPr>
        <w:t xml:space="preserve"> - A Head of Activity designated by the head of the reporting organization to provide leadership and support needed to ensure that internal controls are in place and operating effectively.</w:t>
      </w:r>
    </w:p>
    <w:p>
      <w:pPr>
        <w:pBdr>
          <w:top w:space="5"/>
          <w:left w:space="5"/>
          <w:bottom w:space="5"/>
          <w:right w:space="5"/>
        </w:pBdr>
        <w:spacing w:after="0"/>
        <w:ind w:left="225"/>
        <w:jc w:val="left"/>
      </w:pPr>
      <w:r>
        <w:rPr>
          <w:rFonts w:ascii="Times New Roman" w:hAnsi="Times New Roman"/>
          <w:b/>
          <w:i w:val="false"/>
          <w:color w:val="000000"/>
          <w:sz w:val="22"/>
        </w:rPr>
        <w:t>Billing Invoice</w:t>
      </w:r>
      <w:r>
        <w:rPr>
          <w:rFonts w:ascii="Times New Roman" w:hAnsi="Times New Roman"/>
          <w:b w:val="false"/>
          <w:i w:val="false"/>
          <w:color w:val="000000"/>
          <w:sz w:val="22"/>
        </w:rPr>
        <w:t xml:space="preserve"> - The billing invoice identifies all of the purchase card transactions made by the CHs assigned to a particular BO that are posted during a billing cycle. The invoice can be paper based or presented through the Electronic Access System (EAS) of the issuing bank.</w:t>
      </w:r>
    </w:p>
    <w:p>
      <w:pPr>
        <w:pBdr>
          <w:top w:space="5"/>
          <w:left w:space="5"/>
          <w:bottom w:space="5"/>
          <w:right w:space="5"/>
        </w:pBdr>
        <w:spacing w:after="0"/>
        <w:ind w:left="225"/>
        <w:jc w:val="left"/>
      </w:pPr>
      <w:r>
        <w:rPr>
          <w:rFonts w:ascii="Times New Roman" w:hAnsi="Times New Roman"/>
          <w:b/>
          <w:i w:val="false"/>
          <w:color w:val="000000"/>
          <w:sz w:val="22"/>
        </w:rPr>
        <w:t>Billing Official (BO)</w:t>
      </w:r>
      <w:r>
        <w:rPr>
          <w:rFonts w:ascii="Times New Roman" w:hAnsi="Times New Roman"/>
          <w:b w:val="false"/>
          <w:i w:val="false"/>
          <w:color w:val="000000"/>
          <w:sz w:val="22"/>
        </w:rPr>
        <w:t xml:space="preserve"> - A Government employee who has been nominated by his or her activity/organization to have oversight responsibility over the CHs assigned to his or her managing account. The BO is responsible for: oversight of CHs; certifying officer for the accounts assigned; review CHs’ monthly statements and verify all transactions made were necessary and were accomplished in accordance with regulations and all other agency policies and procedures; and certify monthly invoices (billing statements) for payment processing. Installation, unit, and local Heads of Activities or their designees nominates individuals from their organizations as BOs. The nominating official must be in the supervisory chain of the individual being nominated, and the nomination must be forwarded to the Chief of the Contracting Office (CCO) for issuance of an appointment letter. Issuing appointments to BOs may be redelegated in writing to the A/OPC. The BO is at Level 5 in the GPC reporting hierarchy.</w:t>
      </w:r>
    </w:p>
    <w:p>
      <w:pPr>
        <w:pBdr>
          <w:top w:space="5"/>
          <w:left w:space="5"/>
          <w:bottom w:space="5"/>
          <w:right w:space="5"/>
        </w:pBdr>
        <w:spacing w:after="0"/>
        <w:ind w:left="225"/>
        <w:jc w:val="left"/>
      </w:pPr>
      <w:r>
        <w:rPr>
          <w:rFonts w:ascii="Times New Roman" w:hAnsi="Times New Roman"/>
          <w:b/>
          <w:i w:val="false"/>
          <w:color w:val="000000"/>
          <w:sz w:val="22"/>
        </w:rPr>
        <w:t>Bulk</w:t>
      </w:r>
      <w:r>
        <w:rPr>
          <w:rFonts w:ascii="Times New Roman" w:hAnsi="Times New Roman"/>
          <w:b/>
          <w:i w:val="false"/>
          <w:color w:val="000000"/>
          <w:sz w:val="22"/>
        </w:rPr>
        <w:t>F</w:t>
      </w:r>
      <w:r>
        <w:rPr>
          <w:rFonts w:ascii="Times New Roman" w:hAnsi="Times New Roman"/>
          <w:b/>
          <w:i w:val="false"/>
          <w:color w:val="000000"/>
          <w:sz w:val="22"/>
        </w:rPr>
        <w:t>unding</w:t>
      </w:r>
      <w:r>
        <w:rPr>
          <w:rFonts w:ascii="Times New Roman" w:hAnsi="Times New Roman"/>
          <w:b/>
          <w:i w:val="false"/>
          <w:color w:val="000000"/>
          <w:sz w:val="22"/>
        </w:rPr>
        <w:t>M</w:t>
      </w:r>
      <w:r>
        <w:rPr>
          <w:rFonts w:ascii="Times New Roman" w:hAnsi="Times New Roman"/>
          <w:b/>
          <w:i w:val="false"/>
          <w:color w:val="000000"/>
          <w:sz w:val="22"/>
        </w:rPr>
        <w:t>ethod</w:t>
      </w:r>
      <w:r>
        <w:rPr>
          <w:rFonts w:ascii="Times New Roman" w:hAnsi="Times New Roman"/>
          <w:b w:val="false"/>
          <w:i w:val="false"/>
          <w:color w:val="000000"/>
          <w:sz w:val="22"/>
        </w:rPr>
        <w:t xml:space="preserve"> - The bulk funding method requires posting specific funds to the official accounting records prior to payment of a CH's account. Bulk funding may be made as appropriate to the funding environment of the activity.</w:t>
      </w:r>
    </w:p>
    <w:p>
      <w:pPr>
        <w:pBdr>
          <w:top w:space="5"/>
          <w:left w:space="5"/>
          <w:bottom w:space="5"/>
          <w:right w:space="5"/>
        </w:pBdr>
        <w:spacing w:after="0"/>
        <w:ind w:left="225"/>
        <w:jc w:val="left"/>
      </w:pPr>
      <w:r>
        <w:rPr>
          <w:rFonts w:ascii="Times New Roman" w:hAnsi="Times New Roman"/>
          <w:b/>
          <w:i w:val="false"/>
          <w:color w:val="000000"/>
          <w:sz w:val="22"/>
        </w:rPr>
        <w:t>Cardholder (CH)</w:t>
      </w:r>
      <w:r>
        <w:rPr>
          <w:rFonts w:ascii="Times New Roman" w:hAnsi="Times New Roman"/>
          <w:b w:val="false"/>
          <w:i w:val="false"/>
          <w:color w:val="000000"/>
          <w:sz w:val="22"/>
        </w:rPr>
        <w:t xml:space="preserve"> - An individual designated by an agency/organization to be issued a card. The card bears the individual’s name and can be used only by that individual for official purchases in compliance with agency internal procedures. The term “CH” also applies to check writers on convenience check accounts. CHs are responsible for the timely and accurate processing of monthly CH statements and maintaining a purchase log or the servicing bank’s automated system to record purchases. CHs must adequately control access to the card to preclude unauthorized use and take timely and proper action when unauthorized charges occur. Installation, unit, and local Heads of Activities or their designees nominates individuals from their organizations as CHs. The nominating official must be in the supervisory chain of the individual being nominated, and the nomination must be forwarded to the Chief of the Contracting Office (CCO) for issuance of a delegation of micro-purchase authority. Issuing delegations of authority to CHs may be</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redelegated in writing to the A/OPC. The CH is at Level 6 in the GPC reporting hierarchy.</w:t>
      </w:r>
    </w:p>
    <w:p>
      <w:pPr>
        <w:pBdr>
          <w:top w:space="5"/>
          <w:left w:space="5"/>
          <w:bottom w:space="5"/>
          <w:right w:space="5"/>
        </w:pBdr>
        <w:spacing w:after="0"/>
        <w:ind w:left="225"/>
        <w:jc w:val="left"/>
      </w:pPr>
      <w:r>
        <w:rPr>
          <w:rFonts w:ascii="Times New Roman" w:hAnsi="Times New Roman"/>
          <w:b/>
          <w:i w:val="false"/>
          <w:color w:val="000000"/>
          <w:sz w:val="22"/>
        </w:rPr>
        <w:t>C</w:t>
      </w:r>
      <w:r>
        <w:rPr>
          <w:rFonts w:ascii="Times New Roman" w:hAnsi="Times New Roman"/>
          <w:b/>
          <w:i w:val="false"/>
          <w:color w:val="000000"/>
          <w:sz w:val="22"/>
        </w:rPr>
        <w:t>ardholder S</w:t>
      </w:r>
      <w:r>
        <w:rPr>
          <w:rFonts w:ascii="Times New Roman" w:hAnsi="Times New Roman"/>
          <w:b/>
          <w:i w:val="false"/>
          <w:color w:val="000000"/>
          <w:sz w:val="22"/>
        </w:rPr>
        <w:t>tatement</w:t>
      </w:r>
      <w:r>
        <w:rPr>
          <w:rFonts w:ascii="Times New Roman" w:hAnsi="Times New Roman"/>
          <w:b w:val="false"/>
          <w:i w:val="false"/>
          <w:color w:val="000000"/>
          <w:sz w:val="22"/>
        </w:rPr>
        <w:t xml:space="preserve"> - The statement of charges provided to a CH detailing all of the transactions posted to his or her account during a billing cycle.</w:t>
      </w:r>
    </w:p>
    <w:p>
      <w:pPr>
        <w:pBdr>
          <w:top w:space="5"/>
          <w:left w:space="5"/>
          <w:bottom w:space="5"/>
          <w:right w:space="5"/>
        </w:pBdr>
        <w:spacing w:after="0"/>
        <w:ind w:left="225"/>
        <w:jc w:val="left"/>
      </w:pPr>
      <w:r>
        <w:rPr>
          <w:rFonts w:ascii="Times New Roman" w:hAnsi="Times New Roman"/>
          <w:b/>
          <w:i w:val="false"/>
          <w:color w:val="000000"/>
          <w:sz w:val="22"/>
        </w:rPr>
        <w:t>Certifying Officer</w:t>
      </w:r>
      <w:r>
        <w:rPr>
          <w:rFonts w:ascii="Times New Roman" w:hAnsi="Times New Roman"/>
          <w:b w:val="false"/>
          <w:i w:val="false"/>
          <w:color w:val="000000"/>
          <w:sz w:val="22"/>
        </w:rPr>
        <w:t xml:space="preserve">-Certain Government employees (Resource Managers, Billing Officials) are held accountable for Federal Payments responsible to verify that payments made by the Federal Government are legal, proper and correct. Certifying officers are responsible for the accuracy and legality of the payments made from Federal funds that they approve (31 U.S.C. §3528). Certifying Officers review payment vouchers before certification to ensure that the information on the vouchers agrees with all supporting documentation. See DOD FMR Volume 5, Chapter 330308 A.2.c. </w:t>
      </w:r>
      <w:r>
        <w:rPr>
          <w:rFonts w:ascii="Times New Roman" w:hAnsi="Times New Roman"/>
          <w:b w:val="false"/>
          <w:i/>
          <w:color w:val="000000"/>
          <w:sz w:val="22"/>
        </w:rPr>
        <w:t>For GPC purposes, certifying officer and certifying official are synonymous.</w:t>
      </w:r>
    </w:p>
    <w:p>
      <w:pPr>
        <w:pBdr>
          <w:top w:space="5"/>
          <w:left w:space="5"/>
          <w:bottom w:space="5"/>
          <w:right w:space="5"/>
        </w:pBdr>
        <w:spacing w:after="0"/>
        <w:ind w:left="225"/>
        <w:jc w:val="left"/>
      </w:pPr>
      <w:r>
        <w:rPr>
          <w:rFonts w:ascii="Times New Roman" w:hAnsi="Times New Roman"/>
          <w:b/>
          <w:i w:val="false"/>
          <w:color w:val="000000"/>
          <w:sz w:val="22"/>
        </w:rPr>
        <w:t>Computer Hardware, Enterprise Software and Solutions (CHESS)</w:t>
      </w:r>
      <w:r>
        <w:rPr>
          <w:rFonts w:ascii="Times New Roman" w:hAnsi="Times New Roman"/>
          <w:b w:val="false"/>
          <w:i w:val="false"/>
          <w:color w:val="000000"/>
          <w:sz w:val="22"/>
        </w:rPr>
        <w:t xml:space="preserve"> - The CHESS program is the Army's primary source for commercial information technology (IT) hardware and software. Memorandum signed by the Army CIO/G-6 and the Acting ASA (ALT), dated May 4, 2009 informed of the requirement to use CHESS for IT hardware and software purchases. The CHESS website is located at URL: https://chess.army.mil/ascp/commerce/disclaimer/disclaimer.jsp</w:t>
      </w:r>
    </w:p>
    <w:p>
      <w:pPr>
        <w:pBdr>
          <w:top w:space="5"/>
          <w:left w:space="5"/>
          <w:bottom w:space="5"/>
          <w:right w:space="5"/>
        </w:pBdr>
        <w:spacing w:after="0"/>
        <w:ind w:left="225"/>
        <w:jc w:val="left"/>
      </w:pPr>
      <w:r>
        <w:rPr>
          <w:rFonts w:ascii="Times New Roman" w:hAnsi="Times New Roman"/>
          <w:b/>
          <w:i w:val="false"/>
          <w:color w:val="000000"/>
          <w:sz w:val="22"/>
        </w:rPr>
        <w:t>Computer/Electronic Accommodations Program (CAP)</w:t>
      </w:r>
      <w:r>
        <w:rPr>
          <w:rFonts w:ascii="Times New Roman" w:hAnsi="Times New Roman"/>
          <w:b w:val="false"/>
          <w:i w:val="false"/>
          <w:color w:val="000000"/>
          <w:sz w:val="22"/>
        </w:rPr>
        <w:t xml:space="preserve"> - A centrally funded program that provides ergonomic-related and low-vision equipment for all DOD employees.</w:t>
      </w:r>
    </w:p>
    <w:p>
      <w:pPr>
        <w:pBdr>
          <w:top w:space="5"/>
          <w:left w:space="5"/>
          <w:bottom w:space="5"/>
          <w:right w:space="5"/>
        </w:pBdr>
        <w:spacing w:after="0"/>
        <w:ind w:left="225"/>
        <w:jc w:val="left"/>
      </w:pPr>
      <w:r>
        <w:rPr>
          <w:rFonts w:ascii="Times New Roman" w:hAnsi="Times New Roman"/>
          <w:b/>
          <w:i w:val="false"/>
          <w:color w:val="000000"/>
          <w:sz w:val="22"/>
        </w:rPr>
        <w:t>Contract</w:t>
      </w:r>
      <w:r>
        <w:rPr>
          <w:rFonts w:ascii="Times New Roman" w:hAnsi="Times New Roman"/>
          <w:b/>
          <w:i w:val="false"/>
          <w:color w:val="000000"/>
          <w:sz w:val="22"/>
        </w:rPr>
        <w:t>A</w:t>
      </w:r>
      <w:r>
        <w:rPr>
          <w:rFonts w:ascii="Times New Roman" w:hAnsi="Times New Roman"/>
          <w:b/>
          <w:i w:val="false"/>
          <w:color w:val="000000"/>
          <w:sz w:val="22"/>
        </w:rPr>
        <w:t>ction</w:t>
      </w:r>
      <w:r>
        <w:rPr>
          <w:rFonts w:ascii="Times New Roman" w:hAnsi="Times New Roman"/>
          <w:b/>
          <w:i w:val="false"/>
          <w:color w:val="000000"/>
          <w:sz w:val="22"/>
        </w:rPr>
        <w:t>R</w:t>
      </w:r>
      <w:r>
        <w:rPr>
          <w:rFonts w:ascii="Times New Roman" w:hAnsi="Times New Roman"/>
          <w:b/>
          <w:i w:val="false"/>
          <w:color w:val="000000"/>
          <w:sz w:val="22"/>
        </w:rPr>
        <w:t>eport (CAR)</w:t>
      </w:r>
      <w:r>
        <w:rPr>
          <w:rFonts w:ascii="Times New Roman" w:hAnsi="Times New Roman"/>
          <w:b w:val="false"/>
          <w:i/>
          <w:color w:val="000000"/>
          <w:sz w:val="22"/>
        </w:rPr>
        <w:t>-</w:t>
      </w:r>
      <w:r>
        <w:rPr>
          <w:rFonts w:ascii="Times New Roman" w:hAnsi="Times New Roman"/>
          <w:b w:val="false"/>
          <w:i w:val="false"/>
          <w:color w:val="000000"/>
          <w:sz w:val="22"/>
        </w:rPr>
        <w:t xml:space="preserve"> Form used to report contract actions on the FPDS-NG web site.</w:t>
      </w:r>
    </w:p>
    <w:p>
      <w:pPr>
        <w:pBdr>
          <w:top w:space="5"/>
          <w:left w:space="5"/>
          <w:bottom w:space="5"/>
          <w:right w:space="5"/>
        </w:pBdr>
        <w:spacing w:after="0"/>
        <w:ind w:left="225"/>
        <w:jc w:val="left"/>
      </w:pPr>
      <w:r>
        <w:rPr>
          <w:rFonts w:ascii="Times New Roman" w:hAnsi="Times New Roman"/>
          <w:b/>
          <w:i w:val="false"/>
          <w:color w:val="000000"/>
          <w:sz w:val="22"/>
        </w:rPr>
        <w:t>Convenience</w:t>
      </w:r>
      <w:r>
        <w:rPr>
          <w:rFonts w:ascii="Times New Roman" w:hAnsi="Times New Roman"/>
          <w:b/>
          <w:i w:val="false"/>
          <w:color w:val="000000"/>
          <w:sz w:val="22"/>
        </w:rPr>
        <w:t>C</w:t>
      </w:r>
      <w:r>
        <w:rPr>
          <w:rFonts w:ascii="Times New Roman" w:hAnsi="Times New Roman"/>
          <w:b/>
          <w:i w:val="false"/>
          <w:color w:val="000000"/>
          <w:sz w:val="22"/>
        </w:rPr>
        <w:t>hecks</w:t>
      </w:r>
      <w:r>
        <w:rPr>
          <w:rFonts w:ascii="Times New Roman" w:hAnsi="Times New Roman"/>
          <w:b w:val="false"/>
          <w:i w:val="false"/>
          <w:color w:val="000000"/>
          <w:sz w:val="22"/>
        </w:rPr>
        <w:t xml:space="preserve"> - Third-party drafts issued using the GPC account. Third-party drafts may be used to acquire and pay for supplies or services.</w:t>
      </w:r>
    </w:p>
    <w:p>
      <w:pPr>
        <w:pBdr>
          <w:top w:space="5"/>
          <w:left w:space="5"/>
          <w:bottom w:space="5"/>
          <w:right w:space="5"/>
        </w:pBdr>
        <w:spacing w:after="0"/>
        <w:ind w:left="225"/>
        <w:jc w:val="left"/>
      </w:pPr>
      <w:r>
        <w:rPr>
          <w:rFonts w:ascii="Times New Roman" w:hAnsi="Times New Roman"/>
          <w:b/>
          <w:i w:val="false"/>
          <w:color w:val="000000"/>
          <w:sz w:val="22"/>
        </w:rPr>
        <w:t>Delegation of</w:t>
      </w:r>
      <w:r>
        <w:rPr>
          <w:rFonts w:ascii="Times New Roman" w:hAnsi="Times New Roman"/>
          <w:b/>
          <w:i w:val="false"/>
          <w:color w:val="000000"/>
          <w:sz w:val="22"/>
        </w:rPr>
        <w:t>P</w:t>
      </w:r>
      <w:r>
        <w:rPr>
          <w:rFonts w:ascii="Times New Roman" w:hAnsi="Times New Roman"/>
          <w:b/>
          <w:i w:val="false"/>
          <w:color w:val="000000"/>
          <w:sz w:val="22"/>
        </w:rPr>
        <w:t>rocurement</w:t>
      </w:r>
      <w:r>
        <w:rPr>
          <w:rFonts w:ascii="Times New Roman" w:hAnsi="Times New Roman"/>
          <w:b/>
          <w:i w:val="false"/>
          <w:color w:val="000000"/>
          <w:sz w:val="22"/>
        </w:rPr>
        <w:t>A</w:t>
      </w:r>
      <w:r>
        <w:rPr>
          <w:rFonts w:ascii="Times New Roman" w:hAnsi="Times New Roman"/>
          <w:b/>
          <w:i w:val="false"/>
          <w:color w:val="000000"/>
          <w:sz w:val="22"/>
        </w:rPr>
        <w:t>uthority</w:t>
      </w:r>
      <w:r>
        <w:rPr>
          <w:rFonts w:ascii="Times New Roman" w:hAnsi="Times New Roman"/>
          <w:b/>
          <w:i w:val="false"/>
          <w:color w:val="000000"/>
          <w:sz w:val="22"/>
        </w:rPr>
        <w:t>L</w:t>
      </w:r>
      <w:r>
        <w:rPr>
          <w:rFonts w:ascii="Times New Roman" w:hAnsi="Times New Roman"/>
          <w:b/>
          <w:i w:val="false"/>
          <w:color w:val="000000"/>
          <w:sz w:val="22"/>
        </w:rPr>
        <w:t>etter</w:t>
      </w:r>
      <w:r>
        <w:rPr>
          <w:rFonts w:ascii="Times New Roman" w:hAnsi="Times New Roman"/>
          <w:b w:val="false"/>
          <w:i w:val="false"/>
          <w:color w:val="000000"/>
          <w:sz w:val="22"/>
        </w:rPr>
        <w:t xml:space="preserve"> - A document issued by the CCO that gives an individual the authority to place orders with the GPC. This delegation of procurement authority specifies the single-purchase and monthly purchase limitations unique to that CH.</w:t>
      </w:r>
    </w:p>
    <w:p>
      <w:pPr>
        <w:pBdr>
          <w:top w:space="5"/>
          <w:left w:space="5"/>
          <w:bottom w:space="5"/>
          <w:right w:space="5"/>
        </w:pBdr>
        <w:spacing w:after="0"/>
        <w:ind w:left="225"/>
        <w:jc w:val="left"/>
      </w:pPr>
      <w:r>
        <w:rPr>
          <w:rFonts w:ascii="Times New Roman" w:hAnsi="Times New Roman"/>
          <w:b/>
          <w:i w:val="false"/>
          <w:color w:val="000000"/>
          <w:sz w:val="22"/>
        </w:rPr>
        <w:t>Direct-Hire</w:t>
      </w:r>
      <w:r>
        <w:rPr>
          <w:rFonts w:ascii="Times New Roman" w:hAnsi="Times New Roman"/>
          <w:b/>
          <w:i w:val="false"/>
          <w:color w:val="000000"/>
          <w:sz w:val="22"/>
        </w:rPr>
        <w:t>-</w:t>
      </w:r>
      <w:r>
        <w:rPr>
          <w:rFonts w:ascii="Times New Roman" w:hAnsi="Times New Roman"/>
          <w:b w:val="false"/>
          <w:i w:val="false"/>
          <w:color w:val="000000"/>
          <w:sz w:val="22"/>
        </w:rPr>
        <w:t xml:space="preserve"> Authorities: 5 U.S.C. §3304 and 5 CFR Part 337, Subpart B Using OPM–approved government wide or agency specific direct-hire authorities, agencies may appoint candidates to positions without regard to the requirements in title 5 U.S.C. §3309 through §3318. In order for an agency to use direct hire, OPM must determine that there is either a severe shortage of candidates or a critical hiring need for a position or group of positions.</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Disinterested 3rd Party</w:t>
      </w:r>
      <w:r>
        <w:rPr>
          <w:rFonts w:ascii="Times New Roman" w:hAnsi="Times New Roman"/>
          <w:b w:val="false"/>
          <w:i w:val="false"/>
          <w:color w:val="000000"/>
          <w:sz w:val="22"/>
        </w:rPr>
        <w:t xml:space="preserve"> - An independent, impartial, neutral, and competent person in both action and appearance, independent of the office maintaining the convenience check account, responsible for reviewing and providing an unbiased review of the convenience</w:t>
      </w:r>
    </w:p>
    <w:p>
      <w:pPr>
        <w:pBdr>
          <w:top w:space="5"/>
          <w:left w:space="5"/>
          <w:bottom w:space="5"/>
          <w:right w:space="5"/>
        </w:pBdr>
        <w:spacing w:after="0"/>
        <w:ind w:left="225"/>
        <w:jc w:val="left"/>
      </w:pPr>
      <w:r>
        <w:rPr>
          <w:rFonts w:ascii="Times New Roman" w:hAnsi="Times New Roman"/>
          <w:b w:val="false"/>
          <w:i w:val="false"/>
          <w:color w:val="000000"/>
          <w:sz w:val="22"/>
        </w:rPr>
        <w:t>check account(s) quarterly. This internal control activity provides safeguards against threats to a reviewer’s impartiality and pressures posed in the environment that may compromise or reasonably be expected to compromise the effectiveness and ability of the reviewer to maintain an unbiased comprehensive review report.</w:t>
      </w:r>
    </w:p>
    <w:p>
      <w:pPr>
        <w:pBdr>
          <w:top w:space="5"/>
          <w:left w:space="5"/>
          <w:bottom w:space="5"/>
          <w:right w:space="5"/>
        </w:pBdr>
        <w:spacing w:after="0"/>
        <w:ind w:left="225"/>
        <w:jc w:val="left"/>
      </w:pPr>
      <w:r>
        <w:rPr>
          <w:rFonts w:ascii="Times New Roman" w:hAnsi="Times New Roman"/>
          <w:b/>
          <w:i w:val="false"/>
          <w:color w:val="000000"/>
          <w:sz w:val="22"/>
        </w:rPr>
        <w:t>Electronic Access System (EAS)</w:t>
      </w:r>
      <w:r>
        <w:rPr>
          <w:rFonts w:ascii="Times New Roman" w:hAnsi="Times New Roman"/>
          <w:b w:val="false"/>
          <w:i w:val="false"/>
          <w:color w:val="000000"/>
          <w:sz w:val="22"/>
        </w:rPr>
        <w:t xml:space="preserve"> - is a web-based computer system required by the task order with the issuing Bank for account set-up, maintenance, reporting, and electronic bill presentment and certification.</w:t>
      </w:r>
    </w:p>
    <w:p>
      <w:pPr>
        <w:pBdr>
          <w:top w:space="5"/>
          <w:left w:space="5"/>
          <w:bottom w:space="5"/>
          <w:right w:space="5"/>
        </w:pBdr>
        <w:spacing w:after="0"/>
        <w:ind w:left="225"/>
        <w:jc w:val="left"/>
      </w:pPr>
      <w:r>
        <w:rPr>
          <w:rFonts w:ascii="Times New Roman" w:hAnsi="Times New Roman"/>
          <w:b/>
          <w:i w:val="false"/>
          <w:color w:val="000000"/>
          <w:sz w:val="22"/>
        </w:rPr>
        <w:t>Electronic data interchange (EDI)</w:t>
      </w:r>
      <w:r>
        <w:rPr>
          <w:rFonts w:ascii="Times New Roman" w:hAnsi="Times New Roman"/>
          <w:b w:val="false"/>
          <w:i w:val="false"/>
          <w:color w:val="000000"/>
          <w:sz w:val="22"/>
        </w:rPr>
        <w:t xml:space="preserve"> - The automatic process of receiving electronic obligation and invoice records directly from the Servicing Bank into a DOD accounting system.</w:t>
      </w:r>
    </w:p>
    <w:p>
      <w:pPr>
        <w:pBdr>
          <w:top w:space="5"/>
          <w:left w:space="5"/>
          <w:bottom w:space="5"/>
          <w:right w:space="5"/>
        </w:pBdr>
        <w:spacing w:after="0"/>
        <w:ind w:left="225"/>
        <w:jc w:val="left"/>
      </w:pPr>
      <w:r>
        <w:rPr>
          <w:rFonts w:ascii="Times New Roman" w:hAnsi="Times New Roman"/>
          <w:b/>
          <w:i w:val="false"/>
          <w:color w:val="000000"/>
          <w:sz w:val="22"/>
        </w:rPr>
        <w:t>Erroneous Payment</w:t>
      </w:r>
      <w:r>
        <w:rPr>
          <w:rFonts w:ascii="Times New Roman" w:hAnsi="Times New Roman"/>
          <w:b w:val="false"/>
          <w:i w:val="false"/>
          <w:color w:val="000000"/>
          <w:sz w:val="22"/>
        </w:rPr>
        <w:t>-Illegal, improper, or incorrect payment. DOD FMR Vol. 5 Ch. 33 paragraph 330903.</w:t>
      </w:r>
    </w:p>
    <w:p>
      <w:pPr>
        <w:pBdr>
          <w:top w:space="5"/>
          <w:left w:space="5"/>
          <w:bottom w:space="5"/>
          <w:right w:space="5"/>
        </w:pBdr>
        <w:spacing w:after="0"/>
        <w:ind w:left="225"/>
        <w:jc w:val="left"/>
      </w:pPr>
      <w:r>
        <w:rPr>
          <w:rFonts w:ascii="Times New Roman" w:hAnsi="Times New Roman"/>
          <w:b/>
          <w:i w:val="false"/>
          <w:color w:val="000000"/>
          <w:sz w:val="22"/>
        </w:rPr>
        <w:t>Federal Procurement Data System</w:t>
      </w:r>
      <w:r>
        <w:rPr>
          <w:rFonts w:ascii="Times New Roman" w:hAnsi="Times New Roman"/>
          <w:b/>
          <w:i w:val="false"/>
          <w:color w:val="000000"/>
          <w:sz w:val="22"/>
        </w:rPr>
        <w:t>Next Generation</w:t>
      </w:r>
      <w:r>
        <w:rPr>
          <w:rFonts w:ascii="Times New Roman" w:hAnsi="Times New Roman"/>
          <w:b/>
          <w:i w:val="false"/>
          <w:color w:val="000000"/>
          <w:sz w:val="22"/>
        </w:rPr>
        <w:t>(F</w:t>
      </w:r>
      <w:r>
        <w:rPr>
          <w:rFonts w:ascii="Times New Roman" w:hAnsi="Times New Roman"/>
          <w:b/>
          <w:i w:val="false"/>
          <w:color w:val="000000"/>
          <w:sz w:val="22"/>
        </w:rPr>
        <w:t>PDS</w:t>
      </w:r>
      <w:r>
        <w:rPr>
          <w:rFonts w:ascii="Times New Roman" w:hAnsi="Times New Roman"/>
          <w:b/>
          <w:i w:val="false"/>
          <w:color w:val="000000"/>
          <w:sz w:val="22"/>
        </w:rPr>
        <w:t>-NG) -</w:t>
      </w:r>
      <w:r>
        <w:rPr>
          <w:rFonts w:ascii="Times New Roman" w:hAnsi="Times New Roman"/>
          <w:b w:val="false"/>
          <w:i w:val="false"/>
          <w:color w:val="000000"/>
          <w:sz w:val="22"/>
        </w:rPr>
        <w:t xml:space="preserve"> a computer-based Federal Procurement Data System for collecting, developing and disseminating procurement data to the Congress, Executive Branch and private sector in compliance with 41 U.S.C. §1101 et seq. and FAR Subpart 4.6. The data is used to measure and assess the impact of Federal procurement on the nation’s economy, the extent to which awards are made to businesses in the various socio-economic categories, the impact of full and open competition on the acquisition process and other procurement policy purposes. The Office of Federal Procurement Policy (OFPP) requires that each Department and Agency certify annually that all data within FPDS-NG is valid and complete.</w:t>
      </w:r>
    </w:p>
    <w:p>
      <w:pPr>
        <w:pBdr>
          <w:top w:space="5"/>
          <w:left w:space="5"/>
          <w:bottom w:space="5"/>
          <w:right w:space="5"/>
        </w:pBdr>
        <w:spacing w:after="0"/>
        <w:ind w:left="225"/>
        <w:jc w:val="left"/>
      </w:pPr>
      <w:r>
        <w:rPr>
          <w:rFonts w:ascii="Times New Roman" w:hAnsi="Times New Roman"/>
          <w:b w:val="false"/>
          <w:i w:val="false"/>
          <w:color w:val="000000"/>
          <w:sz w:val="22"/>
        </w:rPr>
        <w:t>File Turn Time - The average number of calendar days between the time a charge (purchase) is posted and payment is received by the issuing Bank.</w:t>
      </w:r>
    </w:p>
    <w:p>
      <w:pPr>
        <w:pBdr>
          <w:top w:space="5"/>
          <w:left w:space="5"/>
          <w:bottom w:space="5"/>
          <w:right w:space="5"/>
        </w:pBdr>
        <w:spacing w:after="0"/>
        <w:ind w:left="225"/>
        <w:jc w:val="left"/>
      </w:pPr>
      <w:r>
        <w:rPr>
          <w:rFonts w:ascii="Times New Roman" w:hAnsi="Times New Roman"/>
          <w:b/>
          <w:i w:val="false"/>
          <w:color w:val="000000"/>
          <w:sz w:val="22"/>
        </w:rPr>
        <w:t>Fraud</w:t>
      </w:r>
      <w:r>
        <w:rPr>
          <w:rFonts w:ascii="Times New Roman" w:hAnsi="Times New Roman"/>
          <w:b w:val="false"/>
          <w:i w:val="false"/>
          <w:color w:val="000000"/>
          <w:sz w:val="22"/>
        </w:rPr>
        <w:t xml:space="preserve"> - Any intentional deception designed to deprive the Government unlawfully of something of value or to secure from the Government for an individual a benefit, privilege, allowance, or consideration to which he or she is not entitled.</w:t>
      </w:r>
    </w:p>
    <w:p>
      <w:pPr>
        <w:pBdr>
          <w:top w:space="5"/>
          <w:left w:space="5"/>
          <w:bottom w:space="5"/>
          <w:right w:space="5"/>
        </w:pBdr>
        <w:spacing w:after="0"/>
        <w:ind w:left="225"/>
        <w:jc w:val="left"/>
      </w:pPr>
      <w:r>
        <w:rPr>
          <w:rFonts w:ascii="Times New Roman" w:hAnsi="Times New Roman"/>
          <w:b/>
          <w:i w:val="false"/>
          <w:color w:val="000000"/>
          <w:sz w:val="22"/>
        </w:rPr>
        <w:t>General Fund Enterprise Business System</w:t>
      </w:r>
      <w:r>
        <w:rPr>
          <w:rFonts w:ascii="Times New Roman" w:hAnsi="Times New Roman"/>
          <w:b/>
          <w:i w:val="false"/>
          <w:color w:val="000000"/>
          <w:sz w:val="22"/>
        </w:rPr>
        <w:t>(GFEBS)</w:t>
      </w:r>
      <w:r>
        <w:rPr>
          <w:rFonts w:ascii="Times New Roman" w:hAnsi="Times New Roman"/>
          <w:b w:val="false"/>
          <w:i w:val="false"/>
          <w:color w:val="000000"/>
          <w:sz w:val="22"/>
        </w:rPr>
        <w:t xml:space="preserve"> - a web-enabled enterprise resource planning (ERP) system allowing the U.S. Army to share financial, asset and accounting data across the Service. The system will standardize transactional input and business processes across the Army to enable cost management activities; provide accurate, reliable, and real-time data; and tie budgets to execution. GFEBS moves the Army from a 'spend and consume culture' - to a 'cost and control culture' by providing value-added, decision-support tools. GFEBS benefits the Army by reducing and</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eliminating waste; reducing variation and improving quality, and complying with regulatory and legislative directives.</w:t>
      </w:r>
    </w:p>
    <w:p>
      <w:pPr>
        <w:pBdr>
          <w:top w:space="5"/>
          <w:left w:space="5"/>
          <w:bottom w:space="5"/>
          <w:right w:space="5"/>
        </w:pBdr>
        <w:spacing w:after="0"/>
        <w:ind w:left="225"/>
        <w:jc w:val="left"/>
      </w:pPr>
      <w:r>
        <w:rPr>
          <w:rFonts w:ascii="Times New Roman" w:hAnsi="Times New Roman"/>
          <w:b/>
          <w:i w:val="false"/>
          <w:color w:val="000000"/>
          <w:sz w:val="22"/>
        </w:rPr>
        <w:t>Hand Receipt Holder</w:t>
      </w:r>
      <w:r>
        <w:rPr>
          <w:rFonts w:ascii="Times New Roman" w:hAnsi="Times New Roman"/>
          <w:b w:val="false"/>
          <w:i w:val="false"/>
          <w:color w:val="000000"/>
          <w:sz w:val="22"/>
        </w:rPr>
        <w:t xml:space="preserve"> - An individual responsible for property listed on a signed document, thereby acknowledging acceptance and responsibility for items therein.</w:t>
      </w:r>
    </w:p>
    <w:p>
      <w:pPr>
        <w:pBdr>
          <w:top w:space="5"/>
          <w:left w:space="5"/>
          <w:bottom w:space="5"/>
          <w:right w:space="5"/>
        </w:pBdr>
        <w:spacing w:after="0"/>
        <w:ind w:left="225"/>
        <w:jc w:val="left"/>
      </w:pPr>
      <w:r>
        <w:rPr>
          <w:rFonts w:ascii="Times New Roman" w:hAnsi="Times New Roman"/>
          <w:b/>
          <w:i w:val="false"/>
          <w:color w:val="000000"/>
          <w:sz w:val="22"/>
        </w:rPr>
        <w:t>Head of Activity (HA)</w:t>
      </w:r>
      <w:r>
        <w:rPr>
          <w:rFonts w:ascii="Times New Roman" w:hAnsi="Times New Roman"/>
          <w:b w:val="false"/>
          <w:i w:val="false"/>
          <w:color w:val="000000"/>
          <w:sz w:val="22"/>
        </w:rPr>
        <w:t xml:space="preserve"> - The military officer in command or the civilian executive in charge of the mission of a command or activity. This individual has disciplinary authority over CHs and BOs in his or her organization and is responsible for having proper internal controls that deter fraud and ensuring that those who violate the policies are properly sanctioned or counseled.</w:t>
      </w:r>
    </w:p>
    <w:p>
      <w:pPr>
        <w:pBdr>
          <w:top w:space="5"/>
          <w:left w:space="5"/>
          <w:bottom w:space="5"/>
          <w:right w:space="5"/>
        </w:pBdr>
        <w:spacing w:after="0"/>
        <w:ind w:left="225"/>
        <w:jc w:val="left"/>
      </w:pPr>
      <w:r>
        <w:rPr>
          <w:rFonts w:ascii="Times New Roman" w:hAnsi="Times New Roman"/>
          <w:b/>
          <w:i w:val="false"/>
          <w:color w:val="000000"/>
          <w:sz w:val="22"/>
        </w:rPr>
        <w:t>Head of the Agency</w:t>
      </w:r>
      <w:r>
        <w:rPr>
          <w:rFonts w:ascii="Times New Roman" w:hAnsi="Times New Roman"/>
          <w:b w:val="false"/>
          <w:i w:val="false"/>
          <w:color w:val="000000"/>
          <w:sz w:val="22"/>
        </w:rPr>
        <w:t xml:space="preserve"> - means, for DOD, the Secretary of Defense, the Secretary of the Army, the Secretary of the Navy, and the Secretary of the Air Force. Subject to the direction of the Secretary of Defense, the Under Secretary of Defense (Acquisition, Technology, and Logistics), and the Director of Defense Procurement and Acquisition Policy, the directors of the defense agencies have been delegated authority to act as head of the agency for their respective agencies (i.e., to perform functions under the FAR or DFARS reserved to a head of agency or agency head), except for such actions that by terms of statute, or any delegation, must be exercised within the Office of the Secretary of Defense. (For emergency acquisition flexibilities, see DFARS 218.270). (DFARS 202.101 Definitions)</w:t>
      </w:r>
    </w:p>
    <w:p>
      <w:pPr>
        <w:pBdr>
          <w:top w:space="5"/>
          <w:left w:space="5"/>
          <w:bottom w:space="5"/>
          <w:right w:space="5"/>
        </w:pBdr>
        <w:spacing w:after="0"/>
        <w:ind w:left="225"/>
        <w:jc w:val="left"/>
      </w:pPr>
      <w:r>
        <w:rPr>
          <w:rFonts w:ascii="Times New Roman" w:hAnsi="Times New Roman"/>
          <w:b/>
          <w:i w:val="false"/>
          <w:color w:val="000000"/>
          <w:sz w:val="22"/>
        </w:rPr>
        <w:t>Head of Contracting Activity</w:t>
      </w:r>
      <w:r>
        <w:rPr>
          <w:rFonts w:ascii="Times New Roman" w:hAnsi="Times New Roman"/>
          <w:b w:val="false"/>
          <w:i w:val="false"/>
          <w:color w:val="000000"/>
          <w:sz w:val="22"/>
        </w:rPr>
        <w:t xml:space="preserve"> - The official who has overall responsibility for managing the contracting activity, including use of the GPC by personnel under his or her contracting cognizance. (FAR 2.101) “Contracting activity" for DOD also means an element of a Defense agency, designated by the Head of Activity for that Defense agency that has been delegated contracting authority through its agency charter. (FAR 2.101)</w:t>
      </w:r>
    </w:p>
    <w:p>
      <w:pPr>
        <w:pBdr>
          <w:top w:space="5"/>
          <w:left w:space="5"/>
          <w:bottom w:space="5"/>
          <w:right w:space="5"/>
        </w:pBdr>
        <w:spacing w:after="0"/>
        <w:ind w:left="225"/>
        <w:jc w:val="left"/>
      </w:pPr>
      <w:r>
        <w:rPr>
          <w:rFonts w:ascii="Times New Roman" w:hAnsi="Times New Roman"/>
          <w:b/>
          <w:i w:val="false"/>
          <w:color w:val="000000"/>
          <w:sz w:val="22"/>
        </w:rPr>
        <w:t>Committee for Purchase from People Who Are Blind or Severely Disabled statute</w:t>
      </w:r>
      <w:r>
        <w:rPr>
          <w:rFonts w:ascii="Times New Roman" w:hAnsi="Times New Roman"/>
          <w:b w:val="false"/>
          <w:i w:val="false"/>
          <w:color w:val="000000"/>
          <w:sz w:val="22"/>
        </w:rPr>
        <w:t xml:space="preserve"> - A law that establishes mandatory sources for supplies and services, administered by the Committee for Purchase from People Who Are Blind or Severely Disabled. Two national, independent organizations, National Industries for the Blind (NIB) and </w:t>
      </w:r>
      <w:r>
        <w:rPr>
          <w:rFonts w:ascii="Times New Roman" w:hAnsi="Times New Roman"/>
          <w:b w:val="false"/>
          <w:i w:val="false"/>
          <w:color w:val="000000"/>
          <w:sz w:val="22"/>
        </w:rPr>
        <w:t>National Institute for the Severely Handicapped (NISH)</w:t>
      </w:r>
      <w:r>
        <w:rPr>
          <w:rFonts w:ascii="Times New Roman" w:hAnsi="Times New Roman"/>
          <w:b w:val="false"/>
          <w:i w:val="false"/>
          <w:color w:val="000000"/>
          <w:sz w:val="22"/>
        </w:rPr>
        <w:t>, help state and private nonprofit agencies participate in the AbilityOne Program.</w:t>
      </w:r>
    </w:p>
    <w:p>
      <w:pPr>
        <w:pBdr>
          <w:top w:space="5"/>
          <w:left w:space="5"/>
          <w:bottom w:space="5"/>
          <w:right w:space="5"/>
        </w:pBdr>
        <w:spacing w:after="0"/>
        <w:ind w:left="225"/>
        <w:jc w:val="left"/>
      </w:pPr>
      <w:r>
        <w:rPr>
          <w:rFonts w:ascii="Times New Roman" w:hAnsi="Times New Roman"/>
          <w:b/>
          <w:i w:val="false"/>
          <w:color w:val="000000"/>
          <w:sz w:val="22"/>
        </w:rPr>
        <w:t>Merchant Category Code (MCC)</w:t>
      </w:r>
      <w:r>
        <w:rPr>
          <w:rFonts w:ascii="Times New Roman" w:hAnsi="Times New Roman"/>
          <w:b w:val="false"/>
          <w:i w:val="false"/>
          <w:color w:val="000000"/>
          <w:sz w:val="22"/>
        </w:rPr>
        <w:t xml:space="preserve"> - A code used by the issuing bank to categorize each merchant according to the type of business in which the merchant is engaged and the kinds of goods and services provided. MCC codes are used as authorized-transaction-type codes on a card/account to identify authorized types of businesses from which purchases may be made with the GPC. The DOD PCPMO maintains the list of DOD-wide blocked codes. The Army Level 2 A/OPC is responsible to administer and record any waiver requests to these blocks.</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i w:val="false"/>
          <w:color w:val="000000"/>
          <w:sz w:val="22"/>
        </w:rPr>
        <w:t>P</w:t>
      </w:r>
      <w:r>
        <w:rPr>
          <w:rFonts w:ascii="Times New Roman" w:hAnsi="Times New Roman"/>
          <w:b/>
          <w:i w:val="false"/>
          <w:color w:val="000000"/>
          <w:sz w:val="22"/>
        </w:rPr>
        <w:t>acking</w:t>
      </w:r>
      <w:r>
        <w:rPr>
          <w:rFonts w:ascii="Times New Roman" w:hAnsi="Times New Roman"/>
          <w:b/>
          <w:i w:val="false"/>
          <w:color w:val="000000"/>
          <w:sz w:val="22"/>
        </w:rPr>
        <w:t>L</w:t>
      </w:r>
      <w:r>
        <w:rPr>
          <w:rFonts w:ascii="Times New Roman" w:hAnsi="Times New Roman"/>
          <w:b/>
          <w:i w:val="false"/>
          <w:color w:val="000000"/>
          <w:sz w:val="22"/>
        </w:rPr>
        <w:t>ist</w:t>
      </w:r>
      <w:r>
        <w:rPr>
          <w:rFonts w:ascii="Times New Roman" w:hAnsi="Times New Roman"/>
          <w:b/>
          <w:i w:val="false"/>
          <w:color w:val="000000"/>
          <w:sz w:val="22"/>
        </w:rPr>
        <w:t>/Slip -</w:t>
      </w:r>
      <w:r>
        <w:rPr>
          <w:rFonts w:ascii="Times New Roman" w:hAnsi="Times New Roman"/>
          <w:b w:val="false"/>
          <w:i w:val="false"/>
          <w:color w:val="000000"/>
          <w:sz w:val="22"/>
        </w:rPr>
        <w:t xml:space="preserve"> (also known as a bill of parcel, unpacking note, packaging slip, (delivery) docket, delivery list), is a shipping document that accompanies delivery packages, usually inside an attached shipping pouch or inside the package itself. It commonly includes an itemized detail of the package contents and does not include</w:t>
      </w:r>
    </w:p>
    <w:p>
      <w:pPr>
        <w:pBdr>
          <w:top w:space="5"/>
          <w:left w:space="5"/>
          <w:bottom w:space="5"/>
          <w:right w:space="5"/>
        </w:pBdr>
        <w:spacing w:after="0"/>
        <w:ind w:left="225"/>
        <w:jc w:val="left"/>
      </w:pPr>
      <w:r>
        <w:rPr>
          <w:rFonts w:ascii="Times New Roman" w:hAnsi="Times New Roman"/>
          <w:b w:val="false"/>
          <w:i w:val="false"/>
          <w:color w:val="000000"/>
          <w:sz w:val="22"/>
        </w:rPr>
        <w:t>customer</w:t>
      </w:r>
      <w:r>
        <w:rPr>
          <w:rFonts w:ascii="Times New Roman" w:hAnsi="Times New Roman"/>
          <w:b w:val="false"/>
          <w:i w:val="false"/>
          <w:color w:val="000000"/>
          <w:sz w:val="22"/>
        </w:rPr>
        <w:t xml:space="preserve"> pricing. It serves to inform all parties, including transport agencies, government authorities, and customers, about the contents of the package. It helps them deal with the package accordingly.</w:t>
      </w:r>
    </w:p>
    <w:p>
      <w:pPr>
        <w:pBdr>
          <w:top w:space="5"/>
          <w:left w:space="5"/>
          <w:bottom w:space="5"/>
          <w:right w:space="5"/>
        </w:pBdr>
        <w:spacing w:after="0"/>
        <w:ind w:left="225"/>
        <w:jc w:val="left"/>
      </w:pPr>
      <w:r>
        <w:rPr>
          <w:rFonts w:ascii="Times New Roman" w:hAnsi="Times New Roman"/>
          <w:b/>
          <w:i w:val="false"/>
          <w:color w:val="000000"/>
          <w:sz w:val="22"/>
        </w:rPr>
        <w:t>Pre-</w:t>
      </w:r>
      <w:r>
        <w:rPr>
          <w:rFonts w:ascii="Times New Roman" w:hAnsi="Times New Roman"/>
          <w:b/>
          <w:i w:val="false"/>
          <w:color w:val="000000"/>
          <w:sz w:val="22"/>
        </w:rPr>
        <w:t>P</w:t>
      </w:r>
      <w:r>
        <w:rPr>
          <w:rFonts w:ascii="Times New Roman" w:hAnsi="Times New Roman"/>
          <w:b/>
          <w:i w:val="false"/>
          <w:color w:val="000000"/>
          <w:sz w:val="22"/>
        </w:rPr>
        <w:t>urchase</w:t>
      </w:r>
      <w:r>
        <w:rPr>
          <w:rFonts w:ascii="Times New Roman" w:hAnsi="Times New Roman"/>
          <w:b/>
          <w:i w:val="false"/>
          <w:color w:val="000000"/>
          <w:sz w:val="22"/>
        </w:rPr>
        <w:t>A</w:t>
      </w:r>
      <w:r>
        <w:rPr>
          <w:rFonts w:ascii="Times New Roman" w:hAnsi="Times New Roman"/>
          <w:b/>
          <w:i w:val="false"/>
          <w:color w:val="000000"/>
          <w:sz w:val="22"/>
        </w:rPr>
        <w:t>pproval</w:t>
      </w:r>
      <w:r>
        <w:rPr>
          <w:rFonts w:ascii="Times New Roman" w:hAnsi="Times New Roman"/>
          <w:b w:val="false"/>
          <w:i w:val="false"/>
          <w:color w:val="000000"/>
          <w:sz w:val="22"/>
        </w:rPr>
        <w:t xml:space="preserve"> - When required and identified by Army or local procedures, documentation showing authority has been obtained to purchase special-use items such as hazardous material or information technology.</w:t>
      </w:r>
    </w:p>
    <w:p>
      <w:pPr>
        <w:pBdr>
          <w:top w:space="5"/>
          <w:left w:space="5"/>
          <w:bottom w:space="5"/>
          <w:right w:space="5"/>
        </w:pBdr>
        <w:spacing w:after="0"/>
        <w:ind w:left="225"/>
        <w:jc w:val="left"/>
      </w:pPr>
      <w:r>
        <w:rPr>
          <w:rFonts w:ascii="Times New Roman" w:hAnsi="Times New Roman"/>
          <w:b/>
          <w:i w:val="false"/>
          <w:color w:val="000000"/>
          <w:sz w:val="22"/>
        </w:rPr>
        <w:t>Prompt Payment Act</w:t>
      </w:r>
      <w:r>
        <w:rPr>
          <w:rFonts w:ascii="Times New Roman" w:hAnsi="Times New Roman"/>
          <w:b w:val="false"/>
          <w:i w:val="false"/>
          <w:color w:val="000000"/>
          <w:sz w:val="22"/>
        </w:rPr>
        <w:t xml:space="preserve"> - A law that requires prompt payment of invoices (billing statements) within 30 days of receipt (FAR Clause 52.232-25, Prompt Payment, (May 1997)). An automatic interest penalty is required if payment is not timely.</w:t>
      </w:r>
    </w:p>
    <w:p>
      <w:pPr>
        <w:pBdr>
          <w:top w:space="5"/>
          <w:left w:space="5"/>
          <w:bottom w:space="5"/>
          <w:right w:space="5"/>
        </w:pBdr>
        <w:spacing w:after="0"/>
        <w:ind w:left="225"/>
        <w:jc w:val="left"/>
      </w:pPr>
      <w:r>
        <w:rPr>
          <w:rFonts w:ascii="Times New Roman" w:hAnsi="Times New Roman"/>
          <w:b/>
          <w:i w:val="false"/>
          <w:color w:val="000000"/>
          <w:sz w:val="22"/>
        </w:rPr>
        <w:t>Purchase Card Online System (PCOLS)</w:t>
      </w:r>
      <w:r>
        <w:rPr>
          <w:rFonts w:ascii="Times New Roman" w:hAnsi="Times New Roman"/>
          <w:b w:val="false"/>
          <w:i w:val="false"/>
          <w:color w:val="000000"/>
          <w:sz w:val="22"/>
        </w:rPr>
        <w:t xml:space="preserve"> - a DOD-wide, DOD-operated data mining electronic system that Government Purchase Card (GPC) participants use to improve the management and accountability of their GPC Program organizations. It is comprised of five web-enabled automated tools: Enterprise Monitoring and Management of Accounts (EMMA); Authorization, Issuance and Maintenance (AIM); Data Mining (DM); Risk Assessment (RA); and PCOLS Reporting.</w:t>
      </w:r>
    </w:p>
    <w:p>
      <w:pPr>
        <w:pBdr>
          <w:top w:space="5"/>
          <w:left w:space="5"/>
          <w:bottom w:space="5"/>
          <w:right w:space="5"/>
        </w:pBdr>
        <w:spacing w:after="0"/>
        <w:ind w:left="225"/>
        <w:jc w:val="left"/>
      </w:pPr>
      <w:r>
        <w:rPr>
          <w:rFonts w:ascii="Times New Roman" w:hAnsi="Times New Roman"/>
          <w:b/>
          <w:i w:val="false"/>
          <w:color w:val="000000"/>
          <w:sz w:val="22"/>
        </w:rPr>
        <w:t>Receipt</w:t>
      </w:r>
      <w:r>
        <w:rPr>
          <w:rFonts w:ascii="Times New Roman" w:hAnsi="Times New Roman"/>
          <w:b w:val="false"/>
          <w:i w:val="false"/>
          <w:color w:val="000000"/>
          <w:sz w:val="22"/>
        </w:rPr>
        <w:t xml:space="preserve"> - A receipt is a written record of a transaction documenting proof of payment. The receipt acts as the title to the property obtained in the exchange. A receipt is a legal document which serves as a permanent record of the transaction that can be used to support financial records (i.e. billing official invoice). Internet shopping has led to the creation of </w:t>
      </w:r>
      <w:hyperlink r:id="rId4">
        <w:r>
          <w:rPr>
            <w:rStyle w:val="Hyperlink"/>
            <w:rFonts w:ascii="Times New Roman" w:hAnsi="Times New Roman"/>
            <w:b w:val="false"/>
            <w:i w:val="false"/>
            <w:color w:val="0000ff"/>
            <w:sz w:val="22"/>
            <w:u w:val="single"/>
          </w:rPr>
          <w:t>electronic</w:t>
        </w:r>
      </w:hyperlink>
      <w:r>
        <w:rPr>
          <w:rFonts w:ascii="Times New Roman" w:hAnsi="Times New Roman"/>
          <w:b w:val="false"/>
          <w:i w:val="false"/>
          <w:color w:val="000000"/>
          <w:sz w:val="22"/>
        </w:rPr>
        <w:t xml:space="preserve"> receipts. Many online businesses provide the cardholder with the option of printing a receipt of the transaction as soon as the payment is approved. In addition, the vendor may provide the cardholder with an </w:t>
      </w:r>
      <w:hyperlink r:id="rId5">
        <w:r>
          <w:rPr>
            <w:rStyle w:val="Hyperlink"/>
            <w:rFonts w:ascii="Times New Roman" w:hAnsi="Times New Roman"/>
            <w:b w:val="false"/>
            <w:i w:val="false"/>
            <w:color w:val="0000ff"/>
            <w:sz w:val="22"/>
            <w:u w:val="single"/>
          </w:rPr>
          <w:t>email</w:t>
        </w:r>
      </w:hyperlink>
      <w:r>
        <w:rPr>
          <w:rFonts w:ascii="Times New Roman" w:hAnsi="Times New Roman"/>
          <w:b w:val="false"/>
          <w:i w:val="false"/>
          <w:color w:val="000000"/>
          <w:sz w:val="22"/>
        </w:rPr>
        <w:t xml:space="preserve"> copy of the receipt. The receipt includes basic information about the nature of the sale. This essential detail includes the date of the transaction, a list of the prices of the items purchased, subtotal, applicable taxes, and a final total. Some receipts will provide unit prices and extended prices when multiple units of the same item are purchased, as well as a detailed description of each item.</w:t>
      </w:r>
    </w:p>
    <w:p>
      <w:pPr>
        <w:pBdr>
          <w:top w:space="5"/>
          <w:left w:space="5"/>
          <w:bottom w:space="5"/>
          <w:right w:space="5"/>
        </w:pBdr>
        <w:spacing w:after="0"/>
        <w:ind w:left="225"/>
        <w:jc w:val="left"/>
      </w:pPr>
      <w:r>
        <w:rPr>
          <w:rFonts w:ascii="Times New Roman" w:hAnsi="Times New Roman"/>
          <w:b/>
          <w:i w:val="false"/>
          <w:color w:val="000000"/>
          <w:sz w:val="22"/>
        </w:rPr>
        <w:t>Required or</w:t>
      </w:r>
      <w:r>
        <w:rPr>
          <w:rFonts w:ascii="Times New Roman" w:hAnsi="Times New Roman"/>
          <w:b/>
          <w:i w:val="false"/>
          <w:color w:val="000000"/>
          <w:sz w:val="22"/>
        </w:rPr>
        <w:t>M</w:t>
      </w:r>
      <w:r>
        <w:rPr>
          <w:rFonts w:ascii="Times New Roman" w:hAnsi="Times New Roman"/>
          <w:b/>
          <w:i w:val="false"/>
          <w:color w:val="000000"/>
          <w:sz w:val="22"/>
        </w:rPr>
        <w:t>andatory</w:t>
      </w:r>
      <w:r>
        <w:rPr>
          <w:rFonts w:ascii="Times New Roman" w:hAnsi="Times New Roman"/>
          <w:b/>
          <w:i w:val="false"/>
          <w:color w:val="000000"/>
          <w:sz w:val="22"/>
        </w:rPr>
        <w:t>S</w:t>
      </w:r>
      <w:r>
        <w:rPr>
          <w:rFonts w:ascii="Times New Roman" w:hAnsi="Times New Roman"/>
          <w:b/>
          <w:i w:val="false"/>
          <w:color w:val="000000"/>
          <w:sz w:val="22"/>
        </w:rPr>
        <w:t>ources of</w:t>
      </w:r>
      <w:r>
        <w:rPr>
          <w:rFonts w:ascii="Times New Roman" w:hAnsi="Times New Roman"/>
          <w:b/>
          <w:i w:val="false"/>
          <w:color w:val="000000"/>
          <w:sz w:val="22"/>
        </w:rPr>
        <w:t>S</w:t>
      </w:r>
      <w:r>
        <w:rPr>
          <w:rFonts w:ascii="Times New Roman" w:hAnsi="Times New Roman"/>
          <w:b/>
          <w:i w:val="false"/>
          <w:color w:val="000000"/>
          <w:sz w:val="22"/>
        </w:rPr>
        <w:t>upply</w:t>
      </w:r>
      <w:r>
        <w:rPr>
          <w:rFonts w:ascii="Times New Roman" w:hAnsi="Times New Roman"/>
          <w:b w:val="false"/>
          <w:i w:val="false"/>
          <w:color w:val="000000"/>
          <w:sz w:val="22"/>
        </w:rPr>
        <w:t xml:space="preserve"> - The priority of sources is dictated by FAR Part 8, Required Sources of Supplies and Services, Subpart 8.001, Priorities for Use of Government Supply Sources, and DFARS 208. Mandatory sources must be considered before an open-market source can be considered. Other mandatory sources include DLA Printing Services, Army CHESS, Army BPAs.</w:t>
      </w:r>
    </w:p>
    <w:p>
      <w:pPr>
        <w:pBdr>
          <w:top w:space="5"/>
          <w:left w:space="5"/>
          <w:bottom w:space="5"/>
          <w:right w:space="5"/>
        </w:pBdr>
        <w:spacing w:after="0"/>
        <w:ind w:left="225"/>
        <w:jc w:val="left"/>
      </w:pPr>
      <w:r>
        <w:rPr>
          <w:rFonts w:ascii="Times New Roman" w:hAnsi="Times New Roman"/>
          <w:b/>
          <w:i w:val="false"/>
          <w:color w:val="000000"/>
          <w:sz w:val="22"/>
        </w:rPr>
        <w:t>Resource Manager (RM)</w:t>
      </w:r>
      <w:r>
        <w:rPr>
          <w:rFonts w:ascii="Times New Roman" w:hAnsi="Times New Roman"/>
          <w:b w:val="false"/>
          <w:i w:val="false"/>
          <w:color w:val="000000"/>
          <w:sz w:val="22"/>
        </w:rPr>
        <w:t xml:space="preserve"> - RM is a Certifying Officer who certifies that funds are available for the GPC program and establishes lines of accounting used on the GPC</w:t>
      </w:r>
    </w:p>
    <w:p>
      <w:pPr>
        <w:pBdr>
          <w:top w:space="5"/>
          <w:left w:space="5"/>
          <w:bottom w:space="5"/>
          <w:right w:space="5"/>
        </w:pBdr>
        <w:spacing w:after="0"/>
        <w:ind w:left="22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225"/>
        <w:jc w:val="left"/>
      </w:pPr>
      <w:r>
        <w:rPr>
          <w:rFonts w:ascii="Times New Roman" w:hAnsi="Times New Roman"/>
          <w:b w:val="false"/>
          <w:i w:val="false"/>
          <w:color w:val="000000"/>
          <w:sz w:val="22"/>
        </w:rPr>
        <w:t>program. The RM is responsible for the proper assignment of funding on an obligation document before the obligation is incurred, and for maintaining a system of positive funds control.</w:t>
      </w:r>
    </w:p>
    <w:p>
      <w:pPr>
        <w:pBdr>
          <w:top w:space="5"/>
          <w:left w:space="5"/>
          <w:bottom w:space="5"/>
          <w:right w:space="5"/>
        </w:pBdr>
        <w:spacing w:after="0"/>
        <w:ind w:left="225"/>
        <w:jc w:val="left"/>
      </w:pPr>
      <w:r>
        <w:rPr>
          <w:rFonts w:ascii="Times New Roman" w:hAnsi="Times New Roman"/>
          <w:b/>
          <w:i w:val="false"/>
          <w:color w:val="000000"/>
          <w:sz w:val="22"/>
        </w:rPr>
        <w:t>Split Purchase</w:t>
      </w:r>
      <w:r>
        <w:rPr>
          <w:rFonts w:ascii="Times New Roman" w:hAnsi="Times New Roman"/>
          <w:b w:val="false"/>
          <w:i w:val="false"/>
          <w:color w:val="000000"/>
          <w:sz w:val="22"/>
        </w:rPr>
        <w:t xml:space="preserve"> - Occurs when a CH splits a known requirement at the time of the purchase into several transactions in order to: circumvent dollar thresholds in order to use the GPC; to avoid competitive bids for purchases over the micro-purchase threshold; or to avoid other established credit limits (this is prohibited). When a known small purchase requirement exceeds the micro-purchase threshold, it must be purchased through a contract using simplified acquisition procedures. Examples of Split Purchases or Split Requirements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(1)A single CH making multiple purchases from the same merchant on the same day, the total of which exceeds the single purchase limit and the total requirement was known at the time of the first purchase.</w:t>
      </w:r>
    </w:p>
    <w:p>
      <w:pPr>
        <w:pBdr>
          <w:top w:space="5"/>
          <w:left w:space="5"/>
          <w:bottom w:space="5"/>
          <w:right w:space="5"/>
        </w:pBdr>
        <w:spacing w:after="0"/>
        <w:ind w:left="585"/>
        <w:jc w:val="left"/>
      </w:pPr>
      <w:r>
        <w:rPr>
          <w:rFonts w:ascii="Times New Roman" w:hAnsi="Times New Roman"/>
          <w:b w:val="false"/>
          <w:i w:val="false"/>
          <w:color w:val="000000"/>
          <w:sz w:val="22"/>
        </w:rPr>
        <w:t>(2)A single CH purchasing the same/similar item(s) from multiple merchants on the same day, the total of which exceeds the single purchase limit and the total was known at the time of the first purchase.</w:t>
      </w:r>
    </w:p>
    <w:p>
      <w:pPr>
        <w:pBdr>
          <w:top w:space="5"/>
          <w:left w:space="5"/>
          <w:bottom w:space="5"/>
          <w:right w:space="5"/>
        </w:pBdr>
        <w:spacing w:after="0"/>
        <w:ind w:left="585"/>
        <w:jc w:val="left"/>
      </w:pPr>
      <w:r>
        <w:rPr>
          <w:rFonts w:ascii="Times New Roman" w:hAnsi="Times New Roman"/>
          <w:b w:val="false"/>
          <w:i w:val="false"/>
          <w:color w:val="000000"/>
          <w:sz w:val="22"/>
        </w:rPr>
        <w:t>(3) A single CH making multiple purchases of similar items from the same or multiple merchants over a period of time when the total requirement was known at time of the first purchase and the value exceeds the single purchase limit.</w:t>
      </w:r>
    </w:p>
    <w:p>
      <w:pPr>
        <w:pBdr>
          <w:top w:space="5"/>
          <w:left w:space="5"/>
          <w:bottom w:space="5"/>
          <w:right w:space="5"/>
        </w:pBdr>
        <w:spacing w:after="0"/>
        <w:ind w:left="585"/>
        <w:jc w:val="left"/>
      </w:pPr>
      <w:r>
        <w:rPr>
          <w:rFonts w:ascii="Times New Roman" w:hAnsi="Times New Roman"/>
          <w:b w:val="false"/>
          <w:i w:val="false"/>
          <w:color w:val="000000"/>
          <w:sz w:val="22"/>
        </w:rPr>
        <w:t>(4)Multiple CHs under the same supervision/billing official purchasing the same/similar item(s) the same day or in a compressed timeframe when the total requirement is known at a given time and exceeds the single purchase limit.</w:t>
      </w:r>
    </w:p>
    <w:p>
      <w:pPr>
        <w:pBdr>
          <w:top w:space="5"/>
          <w:left w:space="5"/>
          <w:bottom w:space="5"/>
          <w:right w:space="5"/>
        </w:pBdr>
        <w:spacing w:after="0"/>
        <w:ind w:left="225"/>
        <w:jc w:val="left"/>
      </w:pPr>
      <w:r>
        <w:rPr>
          <w:rFonts w:ascii="Times New Roman" w:hAnsi="Times New Roman"/>
          <w:b/>
          <w:i w:val="false"/>
          <w:color w:val="000000"/>
          <w:sz w:val="22"/>
        </w:rPr>
        <w:t>Third Party Payments</w:t>
      </w:r>
      <w:r>
        <w:rPr>
          <w:rFonts w:ascii="Times New Roman" w:hAnsi="Times New Roman"/>
          <w:b w:val="false"/>
          <w:i w:val="false"/>
          <w:color w:val="000000"/>
          <w:sz w:val="22"/>
        </w:rPr>
        <w:t xml:space="preserve"> – An online payment processor (i.e. PayPal, 2Checkout.com) provides ways for a merchant to accept credit cards and other payments online without the extra cost and obligation of a merchant account. Where it is identified that a purchase will be processed via a third party merchant (i.e. PayPal), the CH should make every attempt to choose another merchant with whom to procure the goods and/or services. If still found necessary to procure using a third party payment merchant, the CH and BO must ensure there is adequate supporting documentation to prove that there was a detailed review of the purchase and that the use of the third party payment merchant was unavoidable. Transactions made with a third party payment merchant are considered high risk for both subsequent audit and data mining screening.</w:t>
      </w:r>
    </w:p>
    <w:p>
      <w:pPr>
        <w:pBdr>
          <w:top w:space="5"/>
          <w:left w:space="5"/>
          <w:bottom w:space="5"/>
          <w:right w:space="5"/>
        </w:pBdr>
        <w:spacing w:after="0"/>
        <w:ind w:left="225"/>
        <w:jc w:val="left"/>
      </w:pPr>
      <w:r>
        <w:rPr>
          <w:rFonts w:ascii="Times New Roman" w:hAnsi="Times New Roman"/>
          <w:b/>
          <w:i w:val="false"/>
          <w:color w:val="000000"/>
          <w:sz w:val="22"/>
        </w:rPr>
        <w:t>Training – Commercial</w:t>
      </w:r>
      <w:r>
        <w:rPr>
          <w:rFonts w:ascii="Times New Roman" w:hAnsi="Times New Roman"/>
          <w:b/>
          <w:i w:val="false"/>
          <w:color w:val="000000"/>
          <w:sz w:val="22"/>
        </w:rPr>
        <w:t>Off-the-Shelf Training</w:t>
      </w:r>
      <w:r>
        <w:rPr>
          <w:rFonts w:ascii="Times New Roman" w:hAnsi="Times New Roman"/>
          <w:b w:val="false"/>
          <w:i w:val="false"/>
          <w:color w:val="000000"/>
          <w:sz w:val="22"/>
        </w:rPr>
        <w:t xml:space="preserve"> - is defined as training products and services regularly available to the general public and/or Government personnel. The term includes training offered in catalogs or other printed material by a college, university, professional association, consultant firm or organization. It does not include training specifically developed, designed, and produced to meet requirements unique to an organization and/or program. </w:t>
      </w:r>
      <w:r>
        <w:rPr>
          <w:rFonts w:ascii="Times New Roman" w:hAnsi="Times New Roman"/>
          <w:b/>
          <w:i w:val="false"/>
          <w:color w:val="000000"/>
          <w:sz w:val="22"/>
        </w:rPr>
        <w:t>Non-government training</w:t>
      </w:r>
      <w:r>
        <w:rPr>
          <w:rFonts w:ascii="Times New Roman" w:hAnsi="Times New Roman"/>
          <w:b w:val="false"/>
          <w:i w:val="false"/>
          <w:color w:val="000000"/>
          <w:sz w:val="22"/>
        </w:rPr>
        <w:t xml:space="preserve"> sources include, but are not limited to:</w:t>
      </w:r>
    </w:p>
    <w:p>
      <w:pPr>
        <w:pBdr>
          <w:top w:space="5"/>
          <w:left w:space="5"/>
          <w:bottom w:space="5"/>
          <w:right w:space="5"/>
        </w:pBdr>
        <w:spacing w:after="0"/>
        <w:ind w:left="585"/>
        <w:jc w:val="left"/>
      </w:pPr>
      <w:r>
        <w:rPr>
          <w:rFonts w:ascii="Times New Roman" w:hAnsi="Times New Roman"/>
          <w:b w:val="false"/>
          <w:i w:val="false"/>
          <w:color w:val="000000"/>
          <w:sz w:val="22"/>
        </w:rPr>
        <w:t>(1)State government or instrumentality;</w:t>
      </w:r>
    </w:p>
    <w:p>
      <w:pPr>
        <w:pBdr>
          <w:top w:space="5"/>
          <w:left w:space="5"/>
          <w:bottom w:space="5"/>
          <w:right w:space="5"/>
        </w:pBdr>
        <w:spacing w:after="0"/>
        <w:ind w:left="585"/>
        <w:jc w:val="left"/>
      </w:pPr>
      <w:r>
        <w:rPr>
          <w:rFonts w:ascii="Times New Roman" w:hAnsi="Times New Roman"/>
          <w:b w:val="false"/>
          <w:i w:val="false"/>
          <w:color w:val="000000"/>
          <w:sz w:val="22"/>
        </w:rPr>
        <w:t>Appendix J: Glossary (continued)</w:t>
      </w:r>
    </w:p>
    <w:p>
      <w:pPr>
        <w:pBdr>
          <w:top w:space="5"/>
          <w:left w:space="5"/>
          <w:bottom w:space="5"/>
          <w:right w:space="5"/>
        </w:pBdr>
        <w:spacing w:after="0"/>
        <w:ind w:left="585"/>
        <w:jc w:val="left"/>
      </w:pPr>
      <w:r>
        <w:rPr>
          <w:rFonts w:ascii="Times New Roman" w:hAnsi="Times New Roman"/>
          <w:b w:val="false"/>
          <w:i w:val="false"/>
          <w:color w:val="000000"/>
          <w:sz w:val="22"/>
        </w:rPr>
        <w:t>(2)Interstate government organization;</w:t>
      </w:r>
    </w:p>
    <w:p>
      <w:pPr>
        <w:pBdr>
          <w:top w:space="5"/>
          <w:left w:space="5"/>
          <w:bottom w:space="5"/>
          <w:right w:space="5"/>
        </w:pBdr>
        <w:spacing w:after="0"/>
        <w:ind w:left="585"/>
        <w:jc w:val="left"/>
      </w:pPr>
      <w:r>
        <w:rPr>
          <w:rFonts w:ascii="Times New Roman" w:hAnsi="Times New Roman"/>
          <w:b w:val="false"/>
          <w:i w:val="false"/>
          <w:color w:val="000000"/>
          <w:sz w:val="22"/>
        </w:rPr>
        <w:t>(3)Medical, scientific, technical, educational, research, or professional institutions, foundations or organizations; and,</w:t>
      </w:r>
    </w:p>
    <w:p>
      <w:pPr>
        <w:pBdr>
          <w:top w:space="5"/>
          <w:left w:space="5"/>
          <w:bottom w:space="5"/>
          <w:right w:space="5"/>
        </w:pBdr>
        <w:spacing w:after="0"/>
        <w:ind w:left="585"/>
        <w:jc w:val="left"/>
      </w:pPr>
      <w:r>
        <w:rPr>
          <w:rFonts w:ascii="Times New Roman" w:hAnsi="Times New Roman"/>
          <w:b w:val="false"/>
          <w:i w:val="false"/>
          <w:color w:val="000000"/>
          <w:sz w:val="22"/>
        </w:rPr>
        <w:t>(4)Universities, technical, business, and vocational schools</w:t>
      </w:r>
      <w:r>
        <w:rPr>
          <w:rFonts w:ascii="Times New Roman" w:hAnsi="Times New Roman"/>
          <w:b/>
          <w:i w:val="false"/>
          <w:color w:val="000000"/>
          <w:sz w:val="22"/>
        </w:rPr>
        <w:t>,</w:t>
      </w:r>
      <w:r>
        <w:rPr>
          <w:rFonts w:ascii="Times New Roman" w:hAnsi="Times New Roman"/>
          <w:b w:val="false"/>
          <w:i w:val="false"/>
          <w:color w:val="000000"/>
          <w:sz w:val="22"/>
        </w:rPr>
        <w:t xml:space="preserve"> business, commercial, or industrial firms, corporations, partnerships, proprietorships, or other organizations.</w:t>
      </w:r>
    </w:p>
    <w:p>
      <w:pPr>
        <w:pBdr>
          <w:top w:space="5"/>
          <w:left w:space="5"/>
          <w:bottom w:space="5"/>
          <w:right w:space="5"/>
        </w:pBdr>
        <w:spacing w:after="0"/>
        <w:ind w:left="225"/>
        <w:jc w:val="left"/>
      </w:pPr>
      <w:r>
        <w:rPr>
          <w:rFonts w:ascii="Times New Roman" w:hAnsi="Times New Roman"/>
          <w:b/>
          <w:i w:val="false"/>
          <w:color w:val="000000"/>
          <w:sz w:val="22"/>
        </w:rPr>
        <w:t>United States</w:t>
      </w:r>
      <w:r>
        <w:rPr>
          <w:rFonts w:ascii="Times New Roman" w:hAnsi="Times New Roman"/>
          <w:b w:val="false"/>
          <w:i w:val="false"/>
          <w:color w:val="000000"/>
          <w:sz w:val="22"/>
        </w:rPr>
        <w:t xml:space="preserve"> - The 50 States and the District of Columbia, the Commonwealth of Puerto Rico, the Virgin Islands, the Commonwealth of the Northern Mariana Islands, Guam, American Samoa, Wake Island, Johnston Island, Canton Island, the outer Continental Shelf lands, and any other place subject to the jurisdiction of the United States (but not including leased bases).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wisegeek.com/what-is-electronic-cash.htm" Type="http://schemas.openxmlformats.org/officeDocument/2006/relationships/hyperlink" Id="rId4"/>
    <Relationship TargetMode="External" Target="http://www.wisegeek.com/what-is-email.htm"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