
<file path=[Content_Types].xml><?xml version="1.0" encoding="utf-8"?>
<Types xmlns="http://schemas.openxmlformats.org/package/2006/content-types">
  <Default Extension="xml" ContentType="application/vnd.openxmlformats-officedocument.wordprocessingml.document.main+xml"/>
  <Default Extension="bin" ContentType="image/jpe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er1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package/2006/relationships/metadata/core-properties" Target="/docProps/core.xml" Id="rId2" /><Relationship Type="http://schemas.openxmlformats.org/officeDocument/2006/relationships/extended-properties" Target="/docProps/app.xml" Id="rId3" /></Relationships>
</file>

<file path=word/document.xml><?xml version="1.0" encoding="utf-8"?>
<w:document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w:p>
      <w:pPr>
        <w:pStyle w:val="VolumeSet"/>
      </w:pPr>
      <w:r>
        <w:rPr>
          <w:color w:val="000000"/>
        </w:rPr>
        <w:t>Volume VII - Parts 5101 to 5153</w:t>
      </w:r>
    </w:p>
    <w:p>
      <w:pPr>
        <w:pStyle w:val="Title1"/>
        <w:spacing w:after="161"/>
        <w:ind w:left="120"/>
        <w:jc w:val="left"/>
      </w:pPr>
      <w:r>
        <w:t xml:space="preserve">Army</w:t>
      </w:r>
      <w:br/>
      <w:r>
        <w:t xml:space="preserve">  Federal</w:t>
      </w:r>
      <w:br/>
      <w:r>
        <w:t xml:space="preserve">    Acquisition</w:t>
      </w:r>
      <w:br/>
      <w:r>
        <w:t xml:space="preserve">      Regulation</w:t>
      </w:r>
      <w:br/>
      <w:r>
        <w:t xml:space="preserve">        Supplement</w:t>
      </w:r>
    </w:p>
    <w:p/>
    <w:p/>
    <w:p/>
    <w:p/>
    <w:p/>
    <w:p/>
    <w:p/>
    <w:p/>
    <w:p/>
    <w:p/>
    <w:p/>
    <w:p/>
    <w:p/>
    <w:p/>
    <w:p/>
    <w:p>
      <w:pPr>
        <w:pBdr>
          <w:top w:space="8"/>
          <w:left w:space="5"/>
          <w:bottom w:space="5"/>
          <w:right w:space="5"/>
        </w:pBdr>
        <w:spacing w:after="0"/>
        <w:ind w:left="225"/>
        <w:jc w:val="left"/>
      </w:pPr>
      <w:r>
        <w:rPr>
          <w:rFonts w:ascii="Times New Roman" w:hAnsi="Times New Roman"/>
          <w:b w:val="true"/>
          <w:i w:val="false"/>
          <w:color w:val="000000"/>
          <w:sz w:val="21"/>
        </w:rPr>
        <w:t>Issued Fiscal Year 2019 by the:</w:t>
      </w:r>
    </w:p>
    <w:p>
      <w:pPr>
        <w:pBdr>
          <w:top w:space="5"/>
          <w:left w:space="5"/>
          <w:bottom w:space="5"/>
          <w:right w:space="5"/>
        </w:pBdr>
        <w:spacing w:after="0"/>
        <w:ind w:left="225"/>
        <w:jc w:val="left"/>
      </w:pPr>
      <w:r>
        <w:rPr>
          <w:rFonts w:ascii="Times New Roman" w:hAnsi="Times New Roman"/>
          <w:b w:val="true"/>
          <w:i w:val="false"/>
          <w:color w:val="000000"/>
          <w:sz w:val="24"/>
        </w:rPr>
        <w:t>GENERAL SERVICES ADMINISTRATION</w:t>
      </w:r>
    </w:p>
    <w:p>
      <w:pPr>
        <w:pBdr>
          <w:top w:space="5"/>
          <w:left w:space="5"/>
          <w:bottom w:space="5"/>
          <w:right w:space="5"/>
        </w:pBdr>
        <w:spacing w:after="0"/>
        <w:ind w:left="225"/>
        <w:jc w:val="left"/>
      </w:pPr>
      <w:r>
        <w:rPr>
          <w:rFonts w:ascii="Times New Roman" w:hAnsi="Times New Roman"/>
          <w:b w:val="true"/>
          <w:i w:val="false"/>
          <w:color w:val="000000"/>
          <w:sz w:val="24"/>
        </w:rPr>
        <w:t>DEPARTMENT OF THE ARMY</w:t>
      </w:r>
    </w:p>
    <w:p>
      <w:pPr>
        <w:pBdr>
          <w:top w:space="5"/>
          <w:left w:space="5"/>
          <w:bottom w:space="5"/>
          <w:right w:space="5"/>
        </w:pBdr>
        <w:spacing w:after="0"/>
        <w:ind w:left="225"/>
        <w:jc w:val="left"/>
      </w:pPr>
    </w:p>
    <w:br w:type="page"/>
    <w:br w:type="page"/>
    <w:p>
      <w:pPr>
        <w:pStyle w:val="Title3"/>
        <w:pBdr>
          <w:top w:space="5"/>
          <w:left w:space="5"/>
          <w:bottom w:space="5"/>
          <w:right w:space="5"/>
        </w:pBdr>
        <w:spacing w:after="0"/>
        <w:ind w:left="225"/>
        <w:jc w:val="center"/>
      </w:pPr>
      <w:r>
        <w:rPr>
          <w:rFonts w:ascii="Times New Roman" w:hAnsi="Times New Roman"/>
          <w:b/>
          <w:i w:val="false"/>
          <w:color w:val="000000"/>
          <w:sz w:val="21"/>
        </w:rPr>
        <w:t>TITLE 48 - CODE OF FEDERAL REGULATIONS</w:t>
      </w:r>
    </w:p>
    <w:p/>
    <w:p>
      <w:pPr>
        <w:pStyle w:val="ChapterNo"/>
        <w:pBdr>
          <w:top w:space="5"/>
          <w:left w:space="5"/>
          <w:bottom w:space="5"/>
          <w:right w:space="5"/>
        </w:pBdr>
        <w:spacing w:after="0"/>
        <w:ind w:left="225"/>
        <w:jc w:val="center"/>
      </w:pPr>
      <w:r>
        <w:rPr>
          <w:rFonts w:ascii="Times New Roman" w:hAnsi="Times New Roman"/>
          <w:b/>
          <w:i w:val="false"/>
          <w:color w:val="000000"/>
          <w:sz w:val="21"/>
        </w:rPr>
        <w:t>Chapter 51</w:t>
      </w:r>
    </w:p>
    <w:p/>
    <w:p>
      <w:pPr>
        <w:pStyle w:val="Title4"/>
        <w:pBdr>
          <w:top w:space="5"/>
          <w:left w:space="5"/>
          <w:bottom w:space="5"/>
          <w:right w:space="5"/>
        </w:pBdr>
        <w:spacing w:after="0"/>
        <w:ind w:left="225"/>
        <w:jc w:val="center"/>
      </w:pPr>
      <w:r>
        <w:rPr>
          <w:rFonts w:ascii="Times New Roman" w:hAnsi="Times New Roman"/>
          <w:b/>
          <w:i w:val="false"/>
          <w:color w:val="000000"/>
          <w:sz w:val="33"/>
        </w:rPr>
        <w:t>United States Army Federal Acquisition Regulation Supplement</w:t>
      </w:r>
    </w:p>
    <w:p/>
    <w:p/>
    <w:p/>
    <w:p/>
    <w:p/>
    <w:p/>
    <w:p/>
    <w:p/>
    <w:p/>
    <w:p/>
    <w:p/>
    <w:p/>
    <w:p/>
    <w:p/>
    <w:p/>
    <w:p/>
    <w:p/>
    <w:p/>
    <w:p/>
    <w:p/>
    <w:p/>
    <w:p/>
    <w:p/>
    <w:p/>
    <w:p/>
    <w:p/>
    <w:p/>
    <w:p/>
    <w:p/>
    <w:p/>
    <w:p/>
    <w:p/>
    <w:p/>
    <w:p/>
    <w:p/>
    <w:p/>
    <w:p>
      <w:pPr>
        <w:pStyle w:val="VolumeNo"/>
        <w:pBdr>
          <w:top w:space="5"/>
          <w:left w:space="5"/>
          <w:bottom w:space="5"/>
          <w:right w:space="5"/>
        </w:pBdr>
        <w:spacing w:after="0"/>
        <w:ind w:left="225"/>
        <w:jc w:val="center"/>
      </w:pPr>
      <w:r>
        <w:rPr>
          <w:rFonts w:ascii="Times New Roman" w:hAnsi="Times New Roman"/>
          <w:b/>
          <w:i w:val="false"/>
          <w:color w:val="000000"/>
          <w:sz w:val="18"/>
        </w:rPr>
        <w:t>Volume #</w:t>
      </w:r>
    </w:p>
    <w:br w:type="page"/>
    <w:br w:type="page"/>
    <w:p>
      <w:pPr>
        <w:sectPr>
          <w:pgSz w:w="12240" w:h="15840" w:code="1"/>
          <w:pgMar w:top="1440" w:right="1440" w:bottom="1440" w:left="1440"/>
          <w:pgNumType w:start="1"/>
        </w:sectPr>
      </w:pPr>
    </w:p>
    <!-- Created by docx4j 6.1.2 (Apache licensed) using REFERENCE JAXB in Oracle Java 15 on Linux -->
    <!-- Created by docx4j 6.1.2 (Apache licensed) using REFERENCE JAXB in Oracle Java 15 on Linux -->
    <w:p>
      <w:pPr>
        <w:pBdr>
          <w:top w:space="5"/>
          <w:left w:space="5"/>
          <w:bottom w:space="5"/>
          <w:right w:space="5"/>
        </w:pBdr>
        <w:spacing w:after="0"/>
        <w:ind w:left="225"/>
        <w:jc w:val="center"/>
      </w:pPr>
    </w:p>
    <w:sdt xmlns:w="http://schemas.openxmlformats.org/wordprocessingml/2006/main">
      <w:sdtPr>
        <w:id w:val="-493258456"/>
        <w:docPartObj>
          <w:docPartGallery w:val="Table of Contents"/>
          <w:docPartUnique/>
        </w:docPartObj>
      </w:sdtPr>
      <w:sdtEndPr>
        <w:rPr>
          <w:rFonts w:asciiTheme="minorHAnsi" w:hAnsiTheme="minorHAnsi" w:eastAsiaTheme="minorHAnsi" w:cstheme="minorBidi"/>
          <w:b/>
          <w:bCs/>
          <w:noProof/>
          <w:color w:val="auto"/>
          <w:sz w:val="22"/>
          <w:szCs w:val="22"/>
        </w:rPr>
      </w:sdtEndPr>
      <w:sdtContent>
        <w:p w:rsidR="00095C65" w:rsidRDefault="00095C65">
          <w:pPr>
            <w:pStyle w:val="TOCHeading"/>
            <w:jc w:val="center"/>
          </w:pPr>
          <w:r>
            <w:rPr>
              <w:b/>
              <w:color w:val="2E74B5" w:themeColor="accent1" w:themeShade="BF"/>
              <w:sz w:val="20"/>
              <w:szCs w:val="20"/>
            </w:rPr>
            <w:t>Table of Contents</w:t>
          </w:r>
        </w:p>
        <w:p w:rsidR="00095C65" w:rsidRDefault="00095C65">
          <w:r>
            <w:rPr>
              <w:b/>
              <w:bCs/>
              <w:noProof/>
            </w:rPr>
            <w:fldChar w:fldCharType="begin"/>
          </w:r>
          <w:r>
            <w:rPr>
              <w:b/>
              <w:bCs/>
              <w:noProof/>
            </w:rPr>
            <w:instrText xml:space="preserve"> TOC \o "1-4" \h \z \u </w:instrText>
          </w:r>
          <w:r>
            <w:rPr>
              <w:b/>
              <w:bCs/>
              <w:noProof/>
            </w:rPr>
            <w:fldChar w:fldCharType="separate"/>
          </w:r>
          <w:r>
            <w:rPr>
              <w:noProof/>
            </w:rPr>
            <w:t>No table of contents entries found.</w:t>
          </w:r>
          <w:r>
            <w:rPr>
              <w:b/>
              <w:bCs/>
              <w:noProof/>
            </w:rPr>
            <w:fldChar w:fldCharType="end"/>
          </w:r>
        </w:p>
      </w:sdtContent>
    </w:sdt>
    <w:p>
      <w:pPr>
        <w:sectPr>
          <w:pgSz w:w="12240" w:h="15840" w:code="1"/>
          <w:pgMar w:top="1440" w:right="1440" w:bottom="1440" w:left="1440"/>
          <w:type w:val="nextPage"/>
        </w:sectPr>
      </w:pPr>
    </w:p>
    <!-- Created by docx4j 6.1.2 (Apache licensed) using REFERENCE JAXB in Oracle Java 15 on Linux -->
    <w:p>
      <w:pPr>
        <w:pStyle w:val="Heading1"/>
        <w:spacing w:after="161"/>
        <w:ind w:left="120"/>
        <w:jc w:val="center"/>
      </w:pPr>
      <w:bookmarkStart w:name="AFARS_Appendix-FF" w:id="0"/>
      <w:r>
        <w:rPr>
          <w:rFonts w:ascii="Times New Roman" w:hAnsi="Times New Roman"/>
          <w:color w:val="000000"/>
        </w:rPr>
        <w:t>APPENDIX - FF</w:t>
      </w:r>
      <w:r>
        <w:rPr>
          <w:rFonts w:ascii="Times New Roman" w:hAnsi="Times New Roman"/>
          <w:color w:val="000000"/>
        </w:rPr>
        <w:t xml:space="preserve"> Table Of Contents</w:t>
      </w:r>
      <w:bookmarkEnd w:id="0"/>
    </w:p>
    <w:p>
      <w:pPr>
        <w:spacing w:after="0"/>
        <w:jc w:val="left"/>
        <w:ind w:left="720" w:hanging="360"/>
      </w:pPr>
      <w:hyperlink w:anchor="AFARS_Appendix-FF_DOTRPFCONC">
        <w:r>
          <w:rPr>
            <w:rStyle w:val="Hyperlink"/>
            <w:rFonts w:ascii="Times New Roman" w:hAnsi="Times New Roman"/>
            <w:b w:val="false"/>
            <w:i w:val="false"/>
            <w:color w:val="0000ff"/>
            <w:sz w:val="22"/>
            <w:u w:val="single"/>
          </w:rPr>
          <w:t>DEPARTMENT OF THE ARMY PLAN FOR CONTROL OF NONSTANDARD CLAUSES</w:t>
        </w:r>
      </w:hyperlink>
    </w:p>
    <!-- Created by docx4j 6.1.2 (Apache licensed) using REFERENCE JAXB in Oracle Java 15 on Linux -->
    <w:p>
      <w:pPr>
        <w:pStyle w:val="Heading2"/>
        <w:spacing w:after="180"/>
        <w:ind w:left="120"/>
        <w:jc w:val="center"/>
      </w:pPr>
      <w:bookmarkStart w:name="AFARS_Appendix-FF_DOTRPFCONC" w:id="1"/>
      <w:r>
        <w:rPr>
          <w:rFonts w:ascii="Times New Roman" w:hAnsi="Times New Roman"/>
          <w:color w:val="000000"/>
        </w:rPr>
        <w:t>DEPARTMENT OF</w:t>
      </w:r>
      <w:r>
        <w:rPr>
          <w:rFonts w:ascii="Times New Roman" w:hAnsi="Times New Roman"/>
          <w:color w:val="000000"/>
        </w:rPr>
        <w:t xml:space="preserve"> THE ARMY PLAN FOR CONTROL OF NONSTANDARD CLAUSES</w:t>
      </w:r>
      <w:bookmarkEnd w:id="1"/>
    </w:p>
    <w:p>
      <w:pPr>
        <w:pBdr>
          <w:top w:space="5"/>
          <w:left w:space="5"/>
          <w:bottom w:space="5"/>
          <w:right w:space="5"/>
        </w:pBdr>
        <w:spacing w:after="0"/>
        <w:ind w:left="225"/>
        <w:jc w:val="center"/>
      </w:pPr>
      <w:r>
        <w:rPr>
          <w:rFonts w:ascii="Times New Roman" w:hAnsi="Times New Roman"/>
          <w:b w:val="false"/>
          <w:i w:val="false"/>
          <w:color w:val="000000"/>
          <w:sz w:val="22"/>
        </w:rPr>
        <w:t>September 3, 2014</w:t>
      </w:r>
    </w:p>
    <w:p>
      <w:pPr>
        <w:pBdr>
          <w:top w:space="5"/>
          <w:left w:space="5"/>
          <w:bottom w:space="5"/>
          <w:right w:space="5"/>
        </w:pBdr>
        <w:spacing w:after="0"/>
        <w:ind w:left="225"/>
        <w:jc w:val="left"/>
      </w:pPr>
      <w:r>
        <w:rPr>
          <w:rFonts w:ascii="Times New Roman" w:hAnsi="Times New Roman"/>
          <w:b w:val="false"/>
          <w:i w:val="false"/>
          <w:color w:val="000000"/>
          <w:sz w:val="22"/>
        </w:rPr>
        <w:t xml:space="preserve">1. </w:t>
      </w:r>
      <w:r>
        <w:rPr>
          <w:rFonts w:ascii="Times New Roman" w:hAnsi="Times New Roman"/>
          <w:b w:val="false"/>
          <w:i w:val="false"/>
          <w:color w:val="000000"/>
          <w:sz w:val="22"/>
          <w:u w:val="single"/>
        </w:rPr>
        <w:t>PURPOSE.</w:t>
      </w:r>
      <w:r>
        <w:rPr>
          <w:rFonts w:ascii="Times New Roman" w:hAnsi="Times New Roman"/>
          <w:b w:val="false"/>
          <w:i w:val="false"/>
          <w:color w:val="000000"/>
          <w:sz w:val="22"/>
        </w:rPr>
        <w:t xml:space="preserve"> The purpose of this plan is to implement, maintain, and comply with a plan for controlling the use of clauses other than those prescribed in the Federal Acquisition Regulation (FAR) and the Defense Federal Acquisition Regulation Supplement (DFARS) as required in DFARS 201.304(4). This plan supersedes the July 31, 2009, update.</w:t>
      </w:r>
    </w:p>
    <w:p>
      <w:pPr>
        <w:pBdr>
          <w:top w:space="5"/>
          <w:left w:space="5"/>
          <w:bottom w:space="5"/>
          <w:right w:space="5"/>
        </w:pBdr>
        <w:spacing w:after="0"/>
        <w:ind w:left="225"/>
        <w:jc w:val="left"/>
      </w:pPr>
      <w:r>
        <w:rPr>
          <w:rFonts w:ascii="Times New Roman" w:hAnsi="Times New Roman"/>
          <w:b w:val="false"/>
          <w:i w:val="false"/>
          <w:color w:val="000000"/>
          <w:sz w:val="22"/>
        </w:rPr>
        <w:t xml:space="preserve">2. </w:t>
      </w:r>
      <w:r>
        <w:rPr>
          <w:rFonts w:ascii="Times New Roman" w:hAnsi="Times New Roman"/>
          <w:b w:val="false"/>
          <w:i w:val="false"/>
          <w:color w:val="000000"/>
          <w:sz w:val="22"/>
          <w:u w:val="single"/>
        </w:rPr>
        <w:t>DEFINITIONS.</w:t>
      </w:r>
    </w:p>
    <w:p>
      <w:pPr>
        <w:pBdr>
          <w:top w:space="5"/>
          <w:left w:space="5"/>
          <w:bottom w:space="5"/>
          <w:right w:space="5"/>
        </w:pBdr>
        <w:spacing w:after="0"/>
        <w:ind w:left="585"/>
        <w:jc w:val="left"/>
      </w:pPr>
      <w:r>
        <w:rPr>
          <w:rFonts w:ascii="Times New Roman" w:hAnsi="Times New Roman"/>
          <w:b w:val="false"/>
          <w:i w:val="false"/>
          <w:color w:val="000000"/>
          <w:sz w:val="22"/>
        </w:rPr>
        <w:t>a. Clause – The term “clause” includes solicitation provisions and means a term or condition of the type set forth in FAR part 52 and DFARS part 252.</w:t>
      </w:r>
    </w:p>
    <w:p>
      <w:pPr>
        <w:pBdr>
          <w:top w:space="5"/>
          <w:left w:space="5"/>
          <w:bottom w:space="5"/>
          <w:right w:space="5"/>
        </w:pBdr>
        <w:spacing w:after="0"/>
        <w:ind w:left="585"/>
        <w:jc w:val="left"/>
      </w:pPr>
      <w:r>
        <w:rPr>
          <w:rFonts w:ascii="Times New Roman" w:hAnsi="Times New Roman"/>
          <w:b w:val="false"/>
          <w:i w:val="false"/>
          <w:color w:val="000000"/>
          <w:sz w:val="22"/>
        </w:rPr>
        <w:t>b. Deviation – The term “deviation” includes any clause that is inconsistent with the FAR or DFARS.</w:t>
      </w:r>
    </w:p>
    <w:p>
      <w:pPr>
        <w:pBdr>
          <w:top w:space="5"/>
          <w:left w:space="5"/>
          <w:bottom w:space="5"/>
          <w:right w:space="5"/>
        </w:pBdr>
        <w:spacing w:after="0"/>
        <w:ind w:left="585"/>
        <w:jc w:val="left"/>
      </w:pPr>
      <w:r>
        <w:rPr>
          <w:rFonts w:ascii="Times New Roman" w:hAnsi="Times New Roman"/>
          <w:b w:val="false"/>
          <w:i w:val="false"/>
          <w:color w:val="000000"/>
          <w:sz w:val="22"/>
        </w:rPr>
        <w:t>c. Regulation – The term “regulation” includes any contracting supplement, policy letter, clause book, automated system, acquisition instruction (AI), or similar regulatory instrument.</w:t>
      </w:r>
    </w:p>
    <w:p>
      <w:pPr>
        <w:pBdr>
          <w:top w:space="5"/>
          <w:left w:space="5"/>
          <w:bottom w:space="5"/>
          <w:right w:space="5"/>
        </w:pBdr>
        <w:spacing w:after="0"/>
        <w:ind w:left="225"/>
        <w:jc w:val="left"/>
      </w:pPr>
      <w:r>
        <w:rPr>
          <w:rFonts w:ascii="Times New Roman" w:hAnsi="Times New Roman"/>
          <w:b w:val="false"/>
          <w:i w:val="false"/>
          <w:color w:val="000000"/>
          <w:sz w:val="22"/>
        </w:rPr>
        <w:t xml:space="preserve">3. </w:t>
      </w:r>
      <w:r>
        <w:rPr>
          <w:rFonts w:ascii="Times New Roman" w:hAnsi="Times New Roman"/>
          <w:b w:val="false"/>
          <w:i w:val="false"/>
          <w:color w:val="000000"/>
          <w:sz w:val="22"/>
          <w:u w:val="single"/>
        </w:rPr>
        <w:t>REVIEW AND APPROVAL OF NONSTANDARD CLAUSES.</w:t>
      </w:r>
      <w:r>
        <w:rPr>
          <w:rFonts w:ascii="Times New Roman" w:hAnsi="Times New Roman"/>
          <w:b w:val="false"/>
          <w:i w:val="false"/>
          <w:color w:val="000000"/>
          <w:sz w:val="22"/>
        </w:rPr>
        <w:t xml:space="preserve"> Army contracting activities coordinate all nonstandard clauses with the Office of the Deputy Assistant Secretary of the Army (Procurement) (ODASA(P)) Policy and Programs Directorate in accordance with Army Federal Acquisition Regulation Supplement (AFARS) 5101.304(1)(i). The ODASA(P) Policy and Programs Directorate coordinates with the Office of the Army General Counsel during review of nonstandard clauses.</w:t>
      </w:r>
    </w:p>
    <w:p>
      <w:pPr>
        <w:pBdr>
          <w:top w:space="5"/>
          <w:left w:space="5"/>
          <w:bottom w:space="5"/>
          <w:right w:space="5"/>
        </w:pBdr>
        <w:spacing w:after="0"/>
        <w:ind w:left="225"/>
        <w:jc w:val="left"/>
      </w:pPr>
      <w:r>
        <w:rPr>
          <w:rFonts w:ascii="Times New Roman" w:hAnsi="Times New Roman"/>
          <w:b w:val="false"/>
          <w:i w:val="false"/>
          <w:color w:val="000000"/>
          <w:sz w:val="22"/>
        </w:rPr>
        <w:t>a. Director of Defense Procurement and Acquisition Policy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(1) Obtain DPAP approval to use clauses that have a significant effect beyond the internal operating procedures of the Army or impose a significant cost or administrative impact on contractors or offerors (DFARS 201.304(1)). Included are class deviations from the FAR or DFARS (DFARS 201.404(b)) and the six categories of individual deviations set forth in DFARS 201.402(1).</w:t>
      </w:r>
    </w:p>
    <w:p>
      <w:pPr>
        <w:pBdr>
          <w:top w:space="5"/>
          <w:left w:space="5"/>
          <w:bottom w:space="5"/>
          <w:right w:space="5"/>
        </w:pBdr>
        <w:spacing w:after="0"/>
        <w:ind w:left="585"/>
        <w:jc w:val="left"/>
      </w:pPr>
      <w:r>
        <w:rPr>
          <w:rFonts w:ascii="Times New Roman" w:hAnsi="Times New Roman"/>
          <w:b w:val="false"/>
          <w:i w:val="false"/>
          <w:color w:val="000000"/>
          <w:sz w:val="22"/>
        </w:rPr>
        <w:t xml:space="preserve">(2) Coordinate with the ODASA(P) Policy and Programs Directorate to publish clauses requiring DPAP approval in the </w:t>
      </w:r>
      <w:r>
        <w:rPr>
          <w:rFonts w:ascii="Times New Roman" w:hAnsi="Times New Roman"/>
          <w:b w:val="false"/>
          <w:i/>
          <w:color w:val="000000"/>
          <w:sz w:val="22"/>
        </w:rPr>
        <w:t>Federal Register</w:t>
      </w:r>
      <w:r>
        <w:rPr>
          <w:rFonts w:ascii="Times New Roman" w:hAnsi="Times New Roman"/>
          <w:b w:val="false"/>
          <w:i w:val="false"/>
          <w:color w:val="000000"/>
          <w:sz w:val="22"/>
        </w:rPr>
        <w:t>, conduct analysis to ensure compliance with the Paperwork Reduction Act and the Regulatory Flexibility Act (FAR 1.301(c)), and analyze public comments. Submit the clause and all analysis through the Defense Acquisition Regulations (DAR) Council Director (DFARS 201.304(5) and AFARS 5101.301(b)).</w:t>
      </w:r>
    </w:p>
    <w:p>
      <w:pPr>
        <w:pBdr>
          <w:top w:space="5"/>
          <w:left w:space="5"/>
          <w:bottom w:space="5"/>
          <w:right w:space="5"/>
        </w:pBdr>
        <w:spacing w:after="0"/>
        <w:ind w:left="225"/>
        <w:jc w:val="left"/>
      </w:pPr>
      <w:r>
        <w:rPr>
          <w:rFonts w:ascii="Times New Roman" w:hAnsi="Times New Roman"/>
          <w:b w:val="false"/>
          <w:i w:val="false"/>
          <w:color w:val="000000"/>
          <w:sz w:val="22"/>
        </w:rPr>
        <w:t>b. Other than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 xml:space="preserve">(1) Obtain Deputy Assistant Secretary of the Army (Procurement) (DASA(P)) approval to use clauses that do not require DPAP approval and do not require publication in the </w:t>
      </w:r>
      <w:r>
        <w:rPr>
          <w:rFonts w:ascii="Times New Roman" w:hAnsi="Times New Roman"/>
          <w:b w:val="false"/>
          <w:i/>
          <w:color w:val="000000"/>
          <w:sz w:val="22"/>
        </w:rPr>
        <w:t>Federal Register</w:t>
      </w:r>
      <w:r>
        <w:rPr>
          <w:rFonts w:ascii="Times New Roman" w:hAnsi="Times New Roman"/>
          <w:b w:val="false"/>
          <w:i w:val="false"/>
          <w:color w:val="000000"/>
          <w:sz w:val="22"/>
        </w:rPr>
        <w:t xml:space="preserve"> for public comment, but are included in contracting activity AIs or clause books.</w:t>
      </w:r>
    </w:p>
    <w:p>
      <w:pPr>
        <w:pBdr>
          <w:top w:space="5"/>
          <w:left w:space="5"/>
          <w:bottom w:space="5"/>
          <w:right w:space="5"/>
        </w:pBdr>
        <w:spacing w:after="0"/>
        <w:ind w:left="225"/>
        <w:jc w:val="center"/>
      </w:pPr>
      <w:r>
        <w:rPr>
          <w:rFonts w:ascii="Times New Roman" w:hAnsi="Times New Roman"/>
          <w:b w:val="false"/>
          <w:i w:val="false"/>
          <w:color w:val="000000"/>
          <w:sz w:val="22"/>
        </w:rPr>
        <w:t>1</w:t>
      </w:r>
    </w:p>
    <w:p>
      <w:pPr>
        <w:pBdr>
          <w:top w:space="5"/>
          <w:left w:space="5"/>
          <w:bottom w:space="5"/>
          <w:right w:space="5"/>
        </w:pBdr>
        <w:spacing w:after="0"/>
        <w:ind w:left="225"/>
        <w:jc w:val="left"/>
      </w:pPr>
      <w:r>
        <w:drawing>
          <wp:inline distT="0" distB="0" distL="0" distR="0">
            <wp:extent cx="5943600" cy="77772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df251de3536a4e2e"/>
                    <a:stretch>
                      <a:fillRect/>
                    </a:stretch>
                  </pic:blipFill>
                  <pic:spPr>
                    <a:xfrm>
                      <a:off x="0" y="0"/>
                      <a:ext cx="5943600" cy="7777264"/>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077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44fb9245064f4ddb"/>
                    <a:stretch>
                      <a:fillRect/>
                    </a:stretch>
                  </pic:blipFill>
                  <pic:spPr>
                    <a:xfrm>
                      <a:off x="0" y="0"/>
                      <a:ext cx="5943600" cy="7780777"/>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18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0c59e29307e042da"/>
                    <a:stretch>
                      <a:fillRect/>
                    </a:stretch>
                  </pic:blipFill>
                  <pic:spPr>
                    <a:xfrm>
                      <a:off x="0" y="0"/>
                      <a:ext cx="5943600" cy="7781863"/>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42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7eaff6597c984eae"/>
                    <a:stretch>
                      <a:fillRect/>
                    </a:stretch>
                  </pic:blipFill>
                  <pic:spPr>
                    <a:xfrm>
                      <a:off x="0" y="0"/>
                      <a:ext cx="5943600" cy="7784289"/>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9131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208b2dc95c184f15"/>
                    <a:stretch>
                      <a:fillRect/>
                    </a:stretch>
                  </pic:blipFill>
                  <pic:spPr>
                    <a:xfrm>
                      <a:off x="0" y="0"/>
                      <a:ext cx="5943600" cy="7791315"/>
                    </a:xfrm>
                    <a:prstGeom prst="rect">
                      <a:avLst/>
                    </a:prstGeom>
                  </pic:spPr>
                </pic:pic>
              </a:graphicData>
            </a:graphic>
          </wp:inline>
        </w:drawing>
      </w:r>
    </w:p>
    <w:sectPr>
      <w:pgSz w:w="12240" w:h="15840" w:code="1"/>
      <w:pgMar w:top="1440" w:right="1440" w:bottom="1440" w:left="1440"/>
      <w:pgNumType w:start="1"/>
      <w:footerReference w:type="default" r:id="R3f361993139d4d4d"/>
    </w:sectPr>
  </w:body>
</w:document>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393081"/>
      <w:docPartObj>
        <w:docPartGallery w:val="Page Numbers (Bottom of Page)"/>
        <w:docPartUnique/>
      </w:docPartObj>
    </w:sdtPr>
    <w:sdtEndPr>
      <w:rPr>
        <w:noProof/>
      </w:rPr>
    </w:sdtEndPr>
    <w:sdtContent>
      <w:p w14:paraId="0947B58C" w14:textId="3BCA3FE5" w:rsidR="00464A27" w:rsidRDefault="00464A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FFF92" w14:textId="2373001C" w:rsidR="00464A27" w:rsidRDefault="00464A27">
    <w:pPr>
      <w:pStyle w:val="Footer"/>
    </w:pPr>
  </w:p>
</w:ftr>
</file>

<file path=word/numbering.xml><?xml version="1.0" encoding="utf-8"?>
<w:numbering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0">
    <w:nsid w:val="16892FB7"/>
    <w:multiLevelType w:val="hybridMultilevel"/>
    <w:tmpl w:val="5A4EB96A"/>
    <w:lvl w:ilvl="0" w:tplc="0C090001">
      <w:start w:val="1"/>
      <w:numFmt w:val="bullet"/>
      <w:lvlText w:val=""/>
      <w:lvlJc w:val="left"/>
      <w:pPr>
        <w:ind w:left="720" w:hanging="360"/>
      </w:pPr>
      <w:rPr>
        <w:rFonts w:hint="default" w:ascii="Symbol" w:hAnsi="Symbol"/>
      </w:rPr>
    </w:lvl>
    <w:lvl w:ilvl="1" w:tplc="0C090003" w:tentative="true">
      <w:start w:val="1"/>
      <w:numFmt w:val="bullet"/>
      <w:lvlText w:val="o"/>
      <w:lvlJc w:val="left"/>
      <w:pPr>
        <w:ind w:left="1440" w:hanging="360"/>
      </w:pPr>
      <w:rPr>
        <w:rFonts w:hint="default" w:ascii="Courier New" w:hAnsi="Courier New" w:cs="Courier New"/>
      </w:rPr>
    </w:lvl>
    <w:lvl w:ilvl="2" w:tplc="0C090005" w:tentative="true">
      <w:start w:val="1"/>
      <w:numFmt w:val="bullet"/>
      <w:lvlText w:val=""/>
      <w:lvlJc w:val="left"/>
      <w:pPr>
        <w:ind w:left="2160" w:hanging="360"/>
      </w:pPr>
      <w:rPr>
        <w:rFonts w:hint="default" w:ascii="Wingdings" w:hAnsi="Wingdings"/>
      </w:rPr>
    </w:lvl>
    <w:lvl w:ilvl="3" w:tplc="0C090001" w:tentative="true">
      <w:start w:val="1"/>
      <w:numFmt w:val="bullet"/>
      <w:lvlText w:val=""/>
      <w:lvlJc w:val="left"/>
      <w:pPr>
        <w:ind w:left="2880" w:hanging="360"/>
      </w:pPr>
      <w:rPr>
        <w:rFonts w:hint="default" w:ascii="Symbol" w:hAnsi="Symbol"/>
      </w:rPr>
    </w:lvl>
    <w:lvl w:ilvl="4" w:tplc="0C090003" w:tentative="true">
      <w:start w:val="1"/>
      <w:numFmt w:val="bullet"/>
      <w:lvlText w:val="o"/>
      <w:lvlJc w:val="left"/>
      <w:pPr>
        <w:ind w:left="3600" w:hanging="360"/>
      </w:pPr>
      <w:rPr>
        <w:rFonts w:hint="default" w:ascii="Courier New" w:hAnsi="Courier New" w:cs="Courier New"/>
      </w:rPr>
    </w:lvl>
    <w:lvl w:ilvl="5" w:tplc="0C090005" w:tentative="true">
      <w:start w:val="1"/>
      <w:numFmt w:val="bullet"/>
      <w:lvlText w:val=""/>
      <w:lvlJc w:val="left"/>
      <w:pPr>
        <w:ind w:left="4320" w:hanging="360"/>
      </w:pPr>
      <w:rPr>
        <w:rFonts w:hint="default" w:ascii="Wingdings" w:hAnsi="Wingdings"/>
      </w:rPr>
    </w:lvl>
    <w:lvl w:ilvl="6" w:tplc="0C090001" w:tentative="true">
      <w:start w:val="1"/>
      <w:numFmt w:val="bullet"/>
      <w:lvlText w:val=""/>
      <w:lvlJc w:val="left"/>
      <w:pPr>
        <w:ind w:left="5040" w:hanging="360"/>
      </w:pPr>
      <w:rPr>
        <w:rFonts w:hint="default" w:ascii="Symbol" w:hAnsi="Symbol"/>
      </w:rPr>
    </w:lvl>
    <w:lvl w:ilvl="7" w:tplc="0C090003" w:tentative="true">
      <w:start w:val="1"/>
      <w:numFmt w:val="bullet"/>
      <w:lvlText w:val="o"/>
      <w:lvlJc w:val="left"/>
      <w:pPr>
        <w:ind w:left="5760" w:hanging="360"/>
      </w:pPr>
      <w:rPr>
        <w:rFonts w:hint="default" w:ascii="Courier New" w:hAnsi="Courier New" w:cs="Courier New"/>
      </w:rPr>
    </w:lvl>
    <w:lvl w:ilvl="8" w:tplc="0C090005" w:tentative="true">
      <w:start w:val="1"/>
      <w:numFmt w:val="bullet"/>
      <w:lvlText w:val=""/>
      <w:lvlJc w:val="left"/>
      <w:pPr>
        <w:ind w:left="6480" w:hanging="360"/>
      </w:pPr>
      <w:rPr>
        <w:rFonts w:hint="default" w:ascii="Wingdings" w:hAnsi="Wingdings"/>
      </w:rPr>
    </w:lvl>
  </w:abstractNum>
  <w:abstractNum w:abstractNumId="1">
    <w:nsid w:val="7E706046"/>
    <w:multiLevelType w:val="hybridMultilevel"/>
    <w:tmpl w:val="336E8F2C"/>
    <w:lvl w:ilvl="0" w:tplc="0C09000F">
      <w:start w:val="1"/>
      <w:numFmt w:val="decimal"/>
      <w:lvlText w:val="%1."/>
      <w:lvlJc w:val="left"/>
      <w:pPr>
        <w:ind w:left="720" w:hanging="360"/>
      </w:pPr>
    </w:lvl>
    <w:lvl w:ilvl="1" w:tplc="0C090019" w:tentative="true">
      <w:start w:val="1"/>
      <w:numFmt w:val="lowerLetter"/>
      <w:lvlText w:val="%2."/>
      <w:lvlJc w:val="left"/>
      <w:pPr>
        <w:ind w:left="1440" w:hanging="360"/>
      </w:pPr>
    </w:lvl>
    <w:lvl w:ilvl="2" w:tplc="0C09001B" w:tentative="true">
      <w:start w:val="1"/>
      <w:numFmt w:val="lowerRoman"/>
      <w:lvlText w:val="%3."/>
      <w:lvlJc w:val="right"/>
      <w:pPr>
        <w:ind w:left="2160" w:hanging="180"/>
      </w:pPr>
    </w:lvl>
    <w:lvl w:ilvl="3" w:tplc="0C09000F" w:tentative="true">
      <w:start w:val="1"/>
      <w:numFmt w:val="decimal"/>
      <w:lvlText w:val="%4."/>
      <w:lvlJc w:val="left"/>
      <w:pPr>
        <w:ind w:left="2880" w:hanging="360"/>
      </w:pPr>
    </w:lvl>
    <w:lvl w:ilvl="4" w:tplc="0C090019" w:tentative="true">
      <w:start w:val="1"/>
      <w:numFmt w:val="lowerLetter"/>
      <w:lvlText w:val="%5."/>
      <w:lvlJc w:val="left"/>
      <w:pPr>
        <w:ind w:left="3600" w:hanging="360"/>
      </w:pPr>
    </w:lvl>
    <w:lvl w:ilvl="5" w:tplc="0C09001B" w:tentative="true">
      <w:start w:val="1"/>
      <w:numFmt w:val="lowerRoman"/>
      <w:lvlText w:val="%6."/>
      <w:lvlJc w:val="right"/>
      <w:pPr>
        <w:ind w:left="4320" w:hanging="180"/>
      </w:pPr>
    </w:lvl>
    <w:lvl w:ilvl="6" w:tplc="0C09000F" w:tentative="true">
      <w:start w:val="1"/>
      <w:numFmt w:val="decimal"/>
      <w:lvlText w:val="%7."/>
      <w:lvlJc w:val="left"/>
      <w:pPr>
        <w:ind w:left="5040" w:hanging="360"/>
      </w:pPr>
    </w:lvl>
    <w:lvl w:ilvl="7" w:tplc="0C090019" w:tentative="true">
      <w:start w:val="1"/>
      <w:numFmt w:val="lowerLetter"/>
      <w:lvlText w:val="%8."/>
      <w:lvlJc w:val="left"/>
      <w:pPr>
        <w:ind w:left="5760" w:hanging="360"/>
      </w:pPr>
    </w:lvl>
    <w:lvl w:ilvl="8" w:tplc="0C09001B" w:tentative="true">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B450C2"/>
    <w:rPr>
      <w:rFonts w:ascii="Times New Roman" w:hAnsi="Times New Roman"/>
    </w:rPr>
  </w:style>
  <w:style w:type="paragraph" w:styleId="Heading1">
    <w:name w:val="heading 1"/>
    <w:aliases w:val="Subpart XXXX.X-Title,Subpart"/>
    <w:basedOn w:val="Normal"/>
    <w:next w:val="BodyText"/>
    <w:link w:val="Heading1Char"/>
    <w:qFormat/>
    <w:rsid w:val="007724AB"/>
    <w:pPr>
      <w:keepNext/>
      <w:keepLines/>
      <w:spacing w:before="360" w:after="120"/>
      <w:jc w:val="center"/>
      <w:outlineLvl w:val="0"/>
    </w:pPr>
    <w:rPr>
      <w:rFonts w:ascii="Times New Roman" w:hAnsi="Times New Roman" w:eastAsiaTheme="majorEastAsia"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hAnsi="Times New Roman" w:eastAsiaTheme="majorEastAsia"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spacing w:before="280" w:after="240"/>
      <w:jc w:val="center"/>
      <w:outlineLvl w:val="2"/>
    </w:pPr>
    <w:rPr>
      <w:rFonts w:ascii="Times New Roman" w:hAnsi="Times New Roman" w:eastAsiaTheme="majorEastAsia"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hAnsi="Times New Roman" w:eastAsiaTheme="majorEastAsia"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hAnsi="Times New Roman" w:eastAsiaTheme="majorEastAsia"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hAnsi="Times New Roman" w:eastAsiaTheme="majorEastAsia"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imes New Roman" w:hAnsi="Times New Roman" w:asciiTheme="majorHAnsi" w:hAnsiTheme="majorHAnsi" w:eastAsiaTheme="majorEastAsia"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imes New Roman" w:hAnsi="Times New Roman" w:asciiTheme="majorHAnsi" w:hAnsiTheme="majorHAnsi" w:eastAsiaTheme="majorEastAsia"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imes New Roman" w:hAnsi="Times New Roman"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styleId="TitleChar" w:customStyle="1">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styleId="BodyTextChar" w:customStyle="1">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rFonts w:ascii="Times New Roman" w:hAnsi="Times New Roman"/>
      <w:i/>
      <w:iCs/>
      <w:color w:val="44546A" w:themeColor="text2"/>
      <w:sz w:val="18"/>
      <w:szCs w:val="18"/>
    </w:rPr>
  </w:style>
  <w:style w:type="paragraph" w:styleId="BlockText">
    <w:name w:val="Block Text"/>
    <w:basedOn w:val="Normal"/>
    <w:uiPriority w:val="99"/>
    <w:semiHidden/>
    <w:unhideWhenUsed/>
    <w:rsid w:val="00F84C60"/>
    <w:pPr>
      <w:pBdr>
        <w:top w:val="single" w:color="4472C4" w:themeColor="accent1" w:sz="2" w:space="10"/>
        <w:left w:val="single" w:color="4472C4" w:themeColor="accent1" w:sz="2" w:space="10"/>
        <w:bottom w:val="single" w:color="4472C4" w:themeColor="accent1" w:sz="2" w:space="10"/>
        <w:right w:val="single" w:color="4472C4" w:themeColor="accent1" w:sz="2" w:space="10"/>
      </w:pBdr>
      <w:ind w:start="1152" w:end="1152"/>
    </w:pPr>
    <w:rPr>
      <w:rFonts w:ascii="Times New Roman" w:hAnsi="Times New Roman" w:eastAsiaTheme="minorEastAsia"/>
      <w:i/>
      <w:iCs/>
      <w:color w:val="4472C4" w:themeColor="accent1"/>
    </w:rPr>
  </w:style>
  <w:style w:type="paragraph" w:styleId="ListParagraph">
    <w:name w:val="List Paragraph"/>
    <w:basedOn w:val="Normal"/>
    <w:uiPriority w:val="34"/>
    <w:qFormat/>
    <w:rsid w:val="005043CB"/>
    <w:pPr>
      <w:ind w:start="720"/>
      <w:contextualSpacing/>
    </w:pPr>
    <w:rPr>
      <w:rFonts w:ascii="Times New Roman" w:hAnsi="Times New Roman"/>
    </w:rPr>
  </w:style>
  <w:style w:type="table" w:styleId="TableGrid">
    <w:name w:val="Table Grid"/>
    <w:basedOn w:val="TableNormal"/>
    <w:uiPriority w:val="39"/>
    <w:rsid w:val="005043C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aliases w:val="Subpart XXXX.X-Title Char,Subpart Char"/>
    <w:basedOn w:val="DefaultParagraphFont"/>
    <w:link w:val="Heading1"/>
    <w:rsid w:val="007724AB"/>
    <w:rPr>
      <w:rFonts w:ascii="Times New Roman" w:hAnsi="Times New Roman" w:eastAsiaTheme="majorEastAsia" w:cstheme="majorBidi"/>
      <w:b/>
      <w:sz w:val="32"/>
      <w:szCs w:val="32"/>
    </w:rPr>
  </w:style>
  <w:style w:type="character" w:styleId="Heading2Char" w:customStyle="1">
    <w:name w:val="Heading 2 Char"/>
    <w:basedOn w:val="DefaultParagraphFont"/>
    <w:link w:val="Heading2"/>
    <w:uiPriority w:val="9"/>
    <w:rsid w:val="004F20E7"/>
    <w:rPr>
      <w:rFonts w:ascii="Times New Roman" w:hAnsi="Times New Roman" w:eastAsiaTheme="majorEastAsia" w:cstheme="majorBidi"/>
      <w:b/>
      <w:color w:val="000000" w:themeColor="text1"/>
      <w:sz w:val="28"/>
      <w:szCs w:val="26"/>
    </w:rPr>
  </w:style>
  <w:style w:type="character" w:styleId="Heading3Char" w:customStyle="1">
    <w:name w:val="Heading 3 Char"/>
    <w:basedOn w:val="DefaultParagraphFont"/>
    <w:link w:val="Heading3"/>
    <w:uiPriority w:val="9"/>
    <w:rsid w:val="00255EC4"/>
    <w:rPr>
      <w:rFonts w:ascii="Times New Roman" w:hAnsi="Times New Roman" w:eastAsiaTheme="majorEastAsia" w:cstheme="majorBidi"/>
      <w:b/>
      <w:sz w:val="32"/>
    </w:rPr>
  </w:style>
  <w:style w:type="character" w:styleId="Heading4Char" w:customStyle="1">
    <w:name w:val="Heading 4 Char"/>
    <w:basedOn w:val="DefaultParagraphFont"/>
    <w:link w:val="Heading4"/>
    <w:uiPriority w:val="9"/>
    <w:rsid w:val="004A1C10"/>
    <w:rPr>
      <w:rFonts w:ascii="Times New Roman" w:hAnsi="Times New Roman" w:eastAsiaTheme="majorEastAsia" w:cstheme="majorBidi"/>
      <w:b/>
      <w:iCs/>
    </w:rPr>
  </w:style>
  <w:style w:type="character" w:styleId="Heading5Char" w:customStyle="1">
    <w:name w:val="Heading 5 Char"/>
    <w:basedOn w:val="DefaultParagraphFont"/>
    <w:link w:val="Heading5"/>
    <w:uiPriority w:val="9"/>
    <w:rsid w:val="006A545A"/>
    <w:rPr>
      <w:rFonts w:ascii="Times New Roman" w:hAnsi="Times New Roman" w:eastAsiaTheme="majorEastAsia" w:cstheme="majorBidi"/>
      <w:b/>
    </w:rPr>
  </w:style>
  <w:style w:type="character" w:styleId="Heading6Char" w:customStyle="1">
    <w:name w:val="Heading 6 Char"/>
    <w:basedOn w:val="DefaultParagraphFont"/>
    <w:link w:val="Heading6"/>
    <w:uiPriority w:val="9"/>
    <w:rsid w:val="00D068E1"/>
    <w:rPr>
      <w:rFonts w:ascii="Times New Roman" w:hAnsi="Times New Roman" w:eastAsiaTheme="majorEastAsia" w:cstheme="majorBidi"/>
      <w:color w:val="1F3763" w:themeColor="accent1" w:themeShade="7F"/>
    </w:rPr>
  </w:style>
  <w:style w:type="character" w:styleId="Heading7Char" w:customStyle="1">
    <w:name w:val="Heading 7 Char"/>
    <w:basedOn w:val="DefaultParagraphFont"/>
    <w:link w:val="Heading7"/>
    <w:uiPriority w:val="9"/>
    <w:rsid w:val="005043CB"/>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rsid w:val="005043C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043CB"/>
    <w:rPr>
      <w:rFonts w:asciiTheme="majorHAnsi" w:hAnsiTheme="majorHAnsi" w:eastAsiaTheme="majorEastAsia"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rPr>
      <w:rFonts w:ascii="Times New Roman" w:hAnsi="Times New Roman"/>
    </w:rPr>
  </w:style>
  <w:style w:type="character" w:styleId="FootnoteTextChar" w:customStyle="1">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styleId="HeaderChar" w:customStyle="1">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rPr>
      <w:rFonts w:ascii="Times New Roman" w:hAnsi="Times New Roman"/>
    </w:rPr>
  </w:style>
  <w:style w:type="character" w:styleId="FooterChar" w:customStyle="1">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rPr>
      <w:rFonts w:ascii="Times New Roman" w:hAnsi="Times New Roman"/>
    </w:rPr>
  </w:style>
  <w:style w:type="paragraph" w:styleId="ListNumber2">
    <w:name w:val="List Number 2"/>
    <w:basedOn w:val="Normal"/>
    <w:uiPriority w:val="99"/>
    <w:unhideWhenUsed/>
    <w:rsid w:val="00B450C2"/>
    <w:pPr>
      <w:numPr>
        <w:numId w:val="5"/>
      </w:numPr>
      <w:spacing w:before="120" w:after="120"/>
      <w:ind w:start="648"/>
    </w:pPr>
    <w:rPr>
      <w:rFonts w:ascii="Times New Roman" w:hAnsi="Times New Roman"/>
    </w:rPr>
  </w:style>
  <w:style w:type="paragraph" w:styleId="ListNumber3">
    <w:name w:val="List Number 3"/>
    <w:basedOn w:val="Normal"/>
    <w:uiPriority w:val="99"/>
    <w:unhideWhenUsed/>
    <w:rsid w:val="00B450C2"/>
    <w:pPr>
      <w:numPr>
        <w:numId w:val="4"/>
      </w:numPr>
      <w:spacing w:before="120" w:after="120"/>
      <w:ind w:start="922"/>
    </w:pPr>
    <w:rPr>
      <w:rFonts w:ascii="Times New Roman" w:hAnsi="Times New Roman"/>
    </w:rPr>
  </w:style>
  <w:style w:type="paragraph" w:styleId="ListNumber4">
    <w:name w:val="List Number 4"/>
    <w:basedOn w:val="Normal"/>
    <w:uiPriority w:val="99"/>
    <w:unhideWhenUsed/>
    <w:rsid w:val="00B450C2"/>
    <w:pPr>
      <w:numPr>
        <w:numId w:val="3"/>
      </w:numPr>
      <w:spacing w:before="120" w:after="120"/>
      <w:ind w:start="1210"/>
    </w:pPr>
    <w:rPr>
      <w:rFonts w:ascii="Times New Roman" w:hAnsi="Times New Roman"/>
    </w:rPr>
  </w:style>
  <w:style w:type="paragraph" w:styleId="ListNumber5">
    <w:name w:val="List Number 5"/>
    <w:basedOn w:val="Normal"/>
    <w:uiPriority w:val="99"/>
    <w:unhideWhenUsed/>
    <w:rsid w:val="00BD7871"/>
    <w:pPr>
      <w:numPr>
        <w:numId w:val="2"/>
      </w:numPr>
      <w:spacing w:before="120" w:after="120"/>
      <w:ind w:start="1498"/>
      <w:contextualSpacing/>
    </w:pPr>
    <w:rPr>
      <w:rFonts w:ascii="Times New Roman" w:hAnsi="Times New Roman"/>
    </w:rPr>
  </w:style>
  <w:style w:type="paragraph" w:styleId="ListContinue2">
    <w:name w:val="List Continue 2"/>
    <w:basedOn w:val="Normal"/>
    <w:uiPriority w:val="99"/>
    <w:unhideWhenUsed/>
    <w:rsid w:val="003E2606"/>
    <w:pPr>
      <w:spacing w:after="120"/>
      <w:ind w:start="566"/>
      <w:contextualSpacing/>
    </w:pPr>
    <w:rPr>
      <w:rFonts w:ascii="Times New Roman" w:hAnsi="Times New Roman"/>
    </w:rPr>
  </w:style>
  <w:style w:type="paragraph" w:styleId="ListContinue">
    <w:name w:val="List Continue"/>
    <w:basedOn w:val="Normal"/>
    <w:uiPriority w:val="99"/>
    <w:unhideWhenUsed/>
    <w:rsid w:val="003E2606"/>
    <w:pPr>
      <w:spacing w:after="120"/>
      <w:ind w:start="283"/>
      <w:contextualSpacing/>
    </w:pPr>
    <w:rPr>
      <w:rFonts w:ascii="Times New Roman" w:hAnsi="Times New Roman"/>
    </w:rPr>
  </w:style>
  <w:style w:type="paragraph" w:styleId="TOC1">
    <w:name w:val="toc 1"/>
    <w:basedOn w:val="Normal"/>
    <w:next w:val="Normal"/>
    <w:autoRedefine/>
    <w:uiPriority w:val="39"/>
    <w:unhideWhenUsed/>
    <w:rsid w:val="00A37E8E"/>
    <w:rPr>
      <w:rFonts w:ascii="Times New Roman" w:hAnsi="Times New Roman"/>
    </w:rPr>
  </w:style>
  <w:style w:type="paragraph" w:styleId="TOC2">
    <w:name w:val="toc 2"/>
    <w:basedOn w:val="Normal"/>
    <w:next w:val="Normal"/>
    <w:autoRedefine/>
    <w:uiPriority w:val="39"/>
    <w:unhideWhenUsed/>
    <w:rsid w:val="00A37E8E"/>
    <w:pPr>
      <w:ind w:start="240"/>
    </w:pPr>
    <w:rPr>
      <w:rFonts w:ascii="Times New Roman" w:hAnsi="Times New Roman"/>
    </w:rPr>
  </w:style>
  <w:style w:type="paragraph" w:styleId="TOC3">
    <w:name w:val="toc 3"/>
    <w:basedOn w:val="Normal"/>
    <w:next w:val="Normal"/>
    <w:autoRedefine/>
    <w:uiPriority w:val="39"/>
    <w:unhideWhenUsed/>
    <w:rsid w:val="00A37E8E"/>
    <w:pPr>
      <w:ind w:start="480"/>
    </w:pPr>
    <w:rPr>
      <w:rFonts w:ascii="Times New Roman" w:hAnsi="Times New Roman"/>
    </w:rPr>
  </w:style>
  <w:style w:type="paragraph" w:styleId="TOC4">
    <w:name w:val="toc 4"/>
    <w:basedOn w:val="Normal"/>
    <w:next w:val="Normal"/>
    <w:autoRedefine/>
    <w:uiPriority w:val="39"/>
    <w:unhideWhenUsed/>
    <w:rsid w:val="00A37E8E"/>
    <w:pPr>
      <w:ind w:start="720"/>
    </w:pPr>
    <w:rPr>
      <w:rFonts w:ascii="Times New Roman" w:hAnsi="Times New Roman"/>
    </w:rPr>
  </w:style>
  <w:style w:type="paragraph" w:styleId="TOC5">
    <w:name w:val="toc 5"/>
    <w:basedOn w:val="Normal"/>
    <w:next w:val="Normal"/>
    <w:autoRedefine/>
    <w:uiPriority w:val="39"/>
    <w:unhideWhenUsed/>
    <w:rsid w:val="00A37E8E"/>
    <w:pPr>
      <w:ind w:start="960"/>
    </w:pPr>
    <w:rPr>
      <w:rFonts w:ascii="Times New Roman" w:hAnsi="Times New Roman"/>
    </w:rPr>
  </w:style>
  <w:style w:type="paragraph" w:styleId="TOC6">
    <w:name w:val="toc 6"/>
    <w:basedOn w:val="Normal"/>
    <w:next w:val="Normal"/>
    <w:autoRedefine/>
    <w:uiPriority w:val="39"/>
    <w:unhideWhenUsed/>
    <w:rsid w:val="00A37E8E"/>
    <w:pPr>
      <w:ind w:start="1200"/>
    </w:pPr>
    <w:rPr>
      <w:rFonts w:ascii="Times New Roman" w:hAnsi="Times New Roman"/>
    </w:rPr>
  </w:style>
  <w:style w:type="paragraph" w:styleId="TOC7">
    <w:name w:val="toc 7"/>
    <w:basedOn w:val="Normal"/>
    <w:next w:val="Normal"/>
    <w:autoRedefine/>
    <w:uiPriority w:val="39"/>
    <w:unhideWhenUsed/>
    <w:rsid w:val="00A37E8E"/>
    <w:pPr>
      <w:ind w:start="1440"/>
    </w:pPr>
    <w:rPr>
      <w:rFonts w:ascii="Times New Roman" w:hAnsi="Times New Roman"/>
    </w:rPr>
  </w:style>
  <w:style w:type="paragraph" w:styleId="TOC8">
    <w:name w:val="toc 8"/>
    <w:basedOn w:val="Normal"/>
    <w:next w:val="Normal"/>
    <w:autoRedefine/>
    <w:uiPriority w:val="39"/>
    <w:unhideWhenUsed/>
    <w:rsid w:val="00A37E8E"/>
    <w:pPr>
      <w:ind w:start="1680"/>
    </w:pPr>
    <w:rPr>
      <w:rFonts w:ascii="Times New Roman" w:hAnsi="Times New Roman"/>
    </w:rPr>
  </w:style>
  <w:style w:type="paragraph" w:styleId="TOC9">
    <w:name w:val="toc 9"/>
    <w:basedOn w:val="Normal"/>
    <w:next w:val="Normal"/>
    <w:autoRedefine/>
    <w:uiPriority w:val="39"/>
    <w:unhideWhenUsed/>
    <w:rsid w:val="00A37E8E"/>
    <w:pPr>
      <w:ind w:start="1920"/>
    </w:pPr>
    <w:rPr>
      <w:rFonts w:ascii="Times New Roman" w:hAnsi="Times New Roman"/>
    </w:rPr>
  </w:style>
  <w:style w:type="paragraph" w:styleId="TOCHeading">
    <w:name w:val="TOC Heading"/>
    <w:basedOn w:val="Heading1"/>
    <w:next w:val="Normal"/>
    <w:uiPriority w:val="39"/>
    <w:unhideWhenUsed/>
    <w:qFormat/>
    <w:rsid w:val="00987704"/>
    <w:pPr>
      <w:outlineLvl w:val="9"/>
    </w:pPr>
    <w:rPr>
      <w:rFonts w:ascii="Times New Roman" w:hAnsi="Times New Roman"/>
    </w:rPr>
  </w:style>
  <w:style w:type="character" w:styleId="Hyperlink">
    <w:name w:val="Hyperlink"/>
    <w:basedOn w:val="DefaultParagraphFont"/>
    <w:uiPriority w:val="99"/>
    <w:unhideWhenUsed/>
    <w:rsid w:val="00D36E0D"/>
    <w:rPr>
      <w:color w:val="0000FF"/>
      <w:u w:val="single"/>
    </w:rPr>
  </w:style>
  <w:style w:type="paragraph" w:styleId="edition" w:customStyle="1">
    <w:name w:val="edition"/>
    <w:link w:val="editionChar"/>
    <w:rsid w:val="00D36E0D"/>
    <w:pPr>
      <w:widowControl w:val="0"/>
      <w:spacing w:after="200" w:line="276" w:lineRule="auto"/>
    </w:pPr>
    <w:rPr>
      <w:rFonts w:ascii="Times New Roman" w:hAnsi="Times New Roman" w:cs="Times New Roman" w:eastAsiaTheme="minorEastAsia"/>
      <w:b/>
      <w:i/>
      <w:color w:val="000000" w:themeColor="text1"/>
      <w:sz w:val="28"/>
      <w:szCs w:val="22"/>
    </w:rPr>
  </w:style>
  <w:style w:type="character" w:styleId="editionChar" w:customStyle="1">
    <w:name w:val="edition Char"/>
    <w:basedOn w:val="DefaultParagraphFont"/>
    <w:link w:val="edition"/>
    <w:rsid w:val="00D36E0D"/>
    <w:rPr>
      <w:rFonts w:ascii="Times New Roman" w:hAnsi="Times New Roman" w:cs="Times New Roman" w:eastAsiaTheme="minorEastAsia"/>
      <w:b/>
      <w:i/>
      <w:color w:val="000000" w:themeColor="text1"/>
      <w:sz w:val="28"/>
      <w:szCs w:val="22"/>
    </w:rPr>
  </w:style>
  <w:style w:type="paragraph" w:styleId="Header2nd" w:customStyle="1">
    <w:name w:val="Header2nd"/>
    <w:basedOn w:val="Normal"/>
    <w:qFormat/>
    <w:rsid w:val="009C08B5"/>
    <w:pPr>
      <w:pBdr>
        <w:bottom w:val="single" w:color="auto" w:sz="4" w:space="1"/>
      </w:pBdr>
      <w:spacing w:before="120" w:after="120"/>
    </w:pPr>
    <w:rPr>
      <w:rFonts w:ascii="Times New Roman" w:hAnsi="Times New Roman" w:eastAsia="Times New Roman"/>
      <w:szCs w:val="20"/>
    </w:rPr>
  </w:style>
  <w:style w:type="paragraph" w:styleId="ListContinue5">
    <w:name w:val="List Continue 5"/>
    <w:basedOn w:val="Normal"/>
    <w:uiPriority w:val="99"/>
    <w:unhideWhenUsed/>
    <w:rsid w:val="003E2606"/>
    <w:pPr>
      <w:spacing w:after="120"/>
      <w:ind w:start="1800"/>
      <w:contextualSpacing/>
    </w:pPr>
    <w:rPr>
      <w:rFonts w:ascii="Times New Roman" w:hAnsi="Times New Roman"/>
    </w:rPr>
  </w:style>
  <w:style w:type="paragraph" w:styleId="ListContinue4">
    <w:name w:val="List Continue 4"/>
    <w:basedOn w:val="Normal"/>
    <w:uiPriority w:val="99"/>
    <w:unhideWhenUsed/>
    <w:rsid w:val="003E2606"/>
    <w:pPr>
      <w:spacing w:after="120"/>
      <w:ind w:start="1440"/>
      <w:contextualSpacing/>
    </w:pPr>
    <w:rPr>
      <w:rFonts w:ascii="Times New Roman" w:hAnsi="Times New Roman"/>
    </w:rPr>
  </w:style>
  <w:style w:type="paragraph" w:styleId="ListContinue3">
    <w:name w:val="List Continue 3"/>
    <w:basedOn w:val="Normal"/>
    <w:uiPriority w:val="99"/>
    <w:unhideWhenUsed/>
    <w:rsid w:val="003E2606"/>
    <w:pPr>
      <w:spacing w:after="120"/>
      <w:ind w:start="1080"/>
      <w:contextualSpacing/>
    </w:pPr>
    <w:rPr>
      <w:rFonts w:ascii="Times New Roman" w:hAnsi="Times New Roman"/>
    </w:rPr>
  </w:style>
  <w:style w:type="paragraph" w:styleId="cover" w:customStyle="1">
    <w:name w:val="cover"/>
    <w:basedOn w:val="BodyText"/>
    <w:qFormat/>
    <w:rsid w:val="00F16257"/>
    <w:rPr>
      <w:rFonts w:ascii="Times New Roman" w:hAnsi="Times New Roman"/>
      <w:b/>
      <w:sz w:val="28"/>
      <w:lang w:val="fi-FI"/>
    </w:rPr>
  </w:style>
  <w:style w:type="paragraph" w:styleId="Cover0" w:customStyle="1">
    <w:name w:val="Cover"/>
    <w:basedOn w:val="Normal"/>
    <w:qFormat/>
    <w:rsid w:val="00A830FA"/>
    <w:rPr>
      <w:rFonts w:ascii="Times New Roman" w:hAnsi="Times New Roman"/>
      <w:b/>
      <w:sz w:val="28"/>
    </w:rPr>
  </w:style>
  <w:style w:type="paragraph" w:styleId="HTMLPreformatted" w:customStyle="1">
    <w:name w:val="HTMLPreformatted"/>
    <w:basedOn w:val="Cover0"/>
    <w:qFormat/>
    <w:rsid w:val="00902F60"/>
    <w:pPr>
      <w:spacing w:before="360" w:after="360"/>
      <w:jc w:val="center"/>
    </w:pPr>
    <w:rPr>
      <w:rFonts w:ascii="Times New Roman" w:hAnsi="Times New Roman"/>
      <w:sz w:val="24"/>
    </w:rPr>
  </w:style>
  <w:style w:type="paragraph" w:styleId="data" w:customStyle="1">
    <w:name w:val="data"/>
    <w:basedOn w:val="Normal"/>
    <w:qFormat/>
    <w:rsid w:val="00315377"/>
    <w:pPr>
      <w:spacing w:before="240" w:after="240"/>
      <w:jc w:val="center"/>
    </w:pPr>
    <w:rPr>
      <w:rFonts w:ascii="Times New Roman" w:hAnsi="Times New Roman"/>
    </w:rPr>
  </w:style>
  <w:style w:type="paragraph" w:styleId="VolumeSet" w:customStyle="true">
    <w:name w:val="Volume Set"/>
    <w:basedOn w:val="BodyText"/>
    <w:pPr>
      <w:jc w:val="right"/>
    </w:pPr>
    <w:rPr>
      <w:b w:val="true"/>
      <w:sz w:val="28"/>
    </w:rPr>
  </w:style>
  <w:style w:type="paragraph" w:styleId="Title1" w:customStyle="true">
    <w:name w:val="Title 1"/>
    <w:basedOn w:val="BodyText"/>
    <w:pPr>
      <w:jc w:val="left"/>
    </w:pPr>
    <w:rPr>
      <w:b w:val="true"/>
      <w:caps/>
      <w:sz w:val="96"/>
    </w:rPr>
  </w:style>
  <w:style w:type="paragraph" w:styleId="Title2" w:customStyle="true">
    <w:name w:val="Title 2"/>
    <w:basedOn w:val="BodyText"/>
    <w:pPr>
      <w:jc w:val="center"/>
    </w:pPr>
    <w:rPr>
      <w:b w:val="true"/>
      <w:sz w:val="28"/>
    </w:rPr>
  </w:style>
  <w:style w:type="paragraph" w:styleId="ChapterNo" w:customStyle="true">
    <w:name w:val="Chapter No."/>
    <w:basedOn w:val="BodyText"/>
    <w:pPr>
      <w:jc w:val="center"/>
    </w:pPr>
    <w:rPr>
      <w:b w:val="true"/>
      <w:sz w:val="28"/>
    </w:rPr>
  </w:style>
  <w:style w:type="paragraph" w:styleId="Title3" w:customStyle="true">
    <w:name w:val="Title 3"/>
    <w:basedOn w:val="BodyText"/>
    <w:pPr>
      <w:jc w:val="center"/>
    </w:pPr>
    <w:rPr>
      <w:b w:val="true"/>
      <w:sz w:val="28"/>
    </w:rPr>
  </w:style>
  <w:style w:type="paragraph" w:styleId="Title4" w:customStyle="true">
    <w:name w:val="Title 4"/>
    <w:basedOn w:val="BodyText"/>
    <w:pPr>
      <w:jc w:val="center"/>
    </w:pPr>
    <w:rPr>
      <w:b w:val="true"/>
      <w:sz w:val="40"/>
    </w:rPr>
  </w:style>
  <w:style w:type="paragraph" w:styleId="VolumeNo" w:customStyle="true">
    <w:name w:val="Volume No."/>
    <w:basedOn w:val="BodyText"/>
    <w:pPr>
      <w:pBdr>
        <w:bottom w:val="single" w:color="auto" w:sz="4" w:space="1"/>
      </w:pBdr>
      <w:jc w:val="center"/>
    </w:pPr>
    <w:rPr>
      <w:b w:val="true"/>
      <w:sz w:val="28"/>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settings" Target="/word/settings.xml" Id="rId2" /><Relationship Type="http://schemas.openxmlformats.org/officeDocument/2006/relationships/numbering" Target="/word/numbering.xml" Id="rId3" /><Relationship Type="http://schemas.openxmlformats.org/officeDocument/2006/relationships/image" Target="/media/image.bin" Id="Rdf251de3536a4e2e" /><Relationship Type="http://schemas.openxmlformats.org/officeDocument/2006/relationships/image" Target="/media/image222.bin" Id="R44fb9245064f4ddb" /><Relationship Type="http://schemas.openxmlformats.org/officeDocument/2006/relationships/image" Target="/media/image333.bin" Id="R0c59e29307e042da" /><Relationship Type="http://schemas.openxmlformats.org/officeDocument/2006/relationships/image" Target="/media/image444.bin" Id="R7eaff6597c984eae" /><Relationship Type="http://schemas.openxmlformats.org/officeDocument/2006/relationships/image" Target="/media/image555.bin" Id="R208b2dc95c184f15" /><Relationship Type="http://schemas.openxmlformats.org/officeDocument/2006/relationships/footer" Target="/word/footer11.xml" Id="R3f361993139d4d4d" /><Relationship Type="http://schemas.openxmlformats.org/officeDocument/2006/relationships/hyperlink" Target="Appendix-FF_DOTRPFCONC.dita#AFARS_Appendix-FF_DOTRPFCONC" TargetMode="External" Id="Re66385327d744121" /></Relationships>
</file>

<file path=docProps/app.xml><?xml version="1.0" encoding="utf-8"?>
<properties:Properties xmlns:propertie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terms="http://purl.org/dc/terms/" xmlns:dc="http://purl.org/dc/elements/1.1/"/>
</file>