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23" w:id="0"/>
      <w:r>
        <w:rPr>
          <w:rFonts w:ascii="Times New Roman" w:hAnsi="Times New Roman"/>
          <w:color w:val="000000"/>
          <w:sz w:val="48"/>
        </w:rPr>
        <w:t>AFARS – PART 5123</w:t>
      </w:r>
      <w:r>
        <w:rPr>
          <w:rFonts w:ascii="Times New Roman" w:hAnsi="Times New Roman"/>
          <w:color w:val="000000"/>
          <w:sz w:val="48"/>
        </w:rPr>
        <w:t xml:space="preserve"> Environment, Energy and Water Efficiency, Renewable Energy Technologies, Occupational Safety, and Drug–Free Workplace</w:t>
      </w:r>
      <w:bookmarkEnd w:id="0"/>
    </w:p>
    <w:p>
      <w:pPr>
        <w:spacing w:after="0"/>
        <w:jc w:val="left"/>
        <w:ind w:left="720" w:hanging="360"/>
      </w:pPr>
      <w:hyperlink w:anchor="AFARS_Subpart_5123.1">
        <w:r>
          <w:rPr>
            <w:rStyle w:val="Hyperlink"/>
            <w:rFonts w:ascii="Times New Roman" w:hAnsi="Times New Roman"/>
            <w:b w:val="false"/>
            <w:i w:val="false"/>
            <w:color w:val="0000ff"/>
            <w:sz w:val="22"/>
            <w:u w:val="single"/>
          </w:rPr>
          <w:t>Subpart 5123.1 – Sustainable Acquisition Policy</w:t>
        </w:r>
      </w:hyperlink>
    </w:p>
    <w:p>
      <w:pPr>
        <w:spacing w:after="0"/>
        <w:jc w:val="left"/>
        <w:ind w:left="1440" w:hanging="360"/>
      </w:pPr>
      <w:hyperlink w:anchor="AFARS_5123.104">
        <w:r>
          <w:rPr>
            <w:rStyle w:val="Hyperlink"/>
            <w:rFonts w:ascii="Times New Roman" w:hAnsi="Times New Roman"/>
            <w:b w:val="false"/>
            <w:i w:val="false"/>
            <w:color w:val="0000ff"/>
            <w:sz w:val="22"/>
            <w:u w:val="single"/>
          </w:rPr>
          <w:t>5123.104 Exceptions.</w:t>
        </w:r>
      </w:hyperlink>
    </w:p>
    <w:p>
      <w:pPr>
        <w:spacing w:after="0"/>
        <w:jc w:val="left"/>
        <w:ind w:left="1440" w:hanging="360"/>
      </w:pPr>
      <w:hyperlink w:anchor="AFARS_5123.105">
        <w:r>
          <w:rPr>
            <w:rStyle w:val="Hyperlink"/>
            <w:rFonts w:ascii="Times New Roman" w:hAnsi="Times New Roman"/>
            <w:b w:val="false"/>
            <w:i w:val="false"/>
            <w:color w:val="0000ff"/>
            <w:sz w:val="22"/>
            <w:u w:val="single"/>
          </w:rPr>
          <w:t>5123.105 Exemption authority.</w:t>
        </w:r>
      </w:hyperlink>
    </w:p>
    <w:p>
      <w:pPr>
        <w:spacing w:after="0"/>
        <w:jc w:val="left"/>
        <w:ind w:left="720" w:hanging="360"/>
      </w:pPr>
      <w:hyperlink w:anchor="AFARS_Subpart_5123.2">
        <w:r>
          <w:rPr>
            <w:rStyle w:val="Hyperlink"/>
            <w:rFonts w:ascii="Times New Roman" w:hAnsi="Times New Roman"/>
            <w:b w:val="false"/>
            <w:i w:val="false"/>
            <w:color w:val="0000ff"/>
            <w:sz w:val="22"/>
            <w:u w:val="single"/>
          </w:rPr>
          <w:t>Subpart 5123.2 – Energy and Water Efficiency and Renewable Energy</w:t>
        </w:r>
      </w:hyperlink>
    </w:p>
    <w:p>
      <w:pPr>
        <w:spacing w:after="0"/>
        <w:jc w:val="left"/>
        <w:ind w:left="1440" w:hanging="360"/>
      </w:pPr>
      <w:hyperlink w:anchor="AFARS_5123.204">
        <w:r>
          <w:rPr>
            <w:rStyle w:val="Hyperlink"/>
            <w:rFonts w:ascii="Times New Roman" w:hAnsi="Times New Roman"/>
            <w:b w:val="false"/>
            <w:i w:val="false"/>
            <w:color w:val="0000ff"/>
            <w:sz w:val="22"/>
            <w:u w:val="single"/>
          </w:rPr>
          <w:t>5123.204 Procurement exemptions.</w:t>
        </w:r>
      </w:hyperlink>
    </w:p>
    <w:p>
      <w:pPr>
        <w:spacing w:after="0"/>
        <w:jc w:val="left"/>
        <w:ind w:left="1440" w:hanging="360"/>
      </w:pPr>
      <w:hyperlink w:anchor="AFARS_5123.205">
        <w:r>
          <w:rPr>
            <w:rStyle w:val="Hyperlink"/>
            <w:rFonts w:ascii="Times New Roman" w:hAnsi="Times New Roman"/>
            <w:b w:val="false"/>
            <w:i w:val="false"/>
            <w:color w:val="0000ff"/>
            <w:sz w:val="22"/>
            <w:u w:val="single"/>
          </w:rPr>
          <w:t>5123.205 Energy–savings performance contracts.</w:t>
        </w:r>
      </w:hyperlink>
    </w:p>
    <w:p>
      <w:pPr>
        <w:spacing w:after="0"/>
        <w:jc w:val="left"/>
        <w:ind w:left="720" w:hanging="360"/>
      </w:pPr>
      <w:hyperlink w:anchor="AFARS_Subpart_5123.3">
        <w:r>
          <w:rPr>
            <w:rStyle w:val="Hyperlink"/>
            <w:rFonts w:ascii="Times New Roman" w:hAnsi="Times New Roman"/>
            <w:b w:val="false"/>
            <w:i w:val="false"/>
            <w:color w:val="0000ff"/>
            <w:sz w:val="22"/>
            <w:u w:val="single"/>
          </w:rPr>
          <w:t>Subpart 5123.3 – Hazardous Material Identification and Material Safety Data</w:t>
        </w:r>
      </w:hyperlink>
    </w:p>
    <w:p>
      <w:pPr>
        <w:spacing w:after="0"/>
        <w:jc w:val="left"/>
        <w:ind w:left="1440" w:hanging="360"/>
      </w:pPr>
      <w:hyperlink w:anchor="AFARS_5123.302">
        <w:r>
          <w:rPr>
            <w:rStyle w:val="Hyperlink"/>
            <w:rFonts w:ascii="Times New Roman" w:hAnsi="Times New Roman"/>
            <w:b w:val="false"/>
            <w:i w:val="false"/>
            <w:color w:val="0000ff"/>
            <w:sz w:val="22"/>
            <w:u w:val="single"/>
          </w:rPr>
          <w:t>5123.302 Policy.</w:t>
        </w:r>
      </w:hyperlink>
    </w:p>
    <w:p>
      <w:pPr>
        <w:spacing w:after="0"/>
        <w:jc w:val="left"/>
        <w:ind w:left="1440" w:hanging="360"/>
      </w:pPr>
      <w:hyperlink w:anchor="AFARS_5123.370">
        <w:r>
          <w:rPr>
            <w:rStyle w:val="Hyperlink"/>
            <w:rFonts w:ascii="Times New Roman" w:hAnsi="Times New Roman"/>
            <w:b w:val="false"/>
            <w:i w:val="false"/>
            <w:color w:val="0000ff"/>
            <w:sz w:val="22"/>
            <w:u w:val="single"/>
          </w:rPr>
          <w:t>5123.370 Safety precautions for ammunition and explosives.</w:t>
        </w:r>
      </w:hyperlink>
    </w:p>
    <w:p>
      <w:pPr>
        <w:spacing w:after="0"/>
        <w:jc w:val="left"/>
        <w:ind w:left="2160" w:hanging="180"/>
      </w:pPr>
      <w:hyperlink w:anchor="AFARS_5123.3704">
        <w:r>
          <w:rPr>
            <w:rStyle w:val="Hyperlink"/>
            <w:rFonts w:ascii="Times New Roman" w:hAnsi="Times New Roman"/>
            <w:b w:val="false"/>
            <w:i w:val="false"/>
            <w:color w:val="0000ff"/>
            <w:sz w:val="22"/>
            <w:u w:val="single"/>
          </w:rPr>
          <w:t>5123.370-4 Procedures.</w:t>
        </w:r>
      </w:hyperlink>
    </w:p>
    <w:p>
      <w:pPr>
        <w:spacing w:after="0"/>
        <w:jc w:val="left"/>
        <w:ind w:left="720" w:hanging="360"/>
      </w:pPr>
      <w:hyperlink w:anchor="AFARS_Subpart_5123.8">
        <w:r>
          <w:rPr>
            <w:rStyle w:val="Hyperlink"/>
            <w:rFonts w:ascii="Times New Roman" w:hAnsi="Times New Roman"/>
            <w:b w:val="false"/>
            <w:i w:val="false"/>
            <w:color w:val="0000ff"/>
            <w:sz w:val="22"/>
            <w:u w:val="single"/>
          </w:rPr>
          <w:t>Subpart 5123.8 – Ozone–Depleting Substances</w:t>
        </w:r>
      </w:hyperlink>
    </w:p>
    <w:p>
      <w:pPr>
        <w:spacing w:after="0"/>
        <w:jc w:val="left"/>
        <w:ind w:left="1440" w:hanging="360"/>
      </w:pPr>
      <w:hyperlink w:anchor="AFARS_5123.803">
        <w:r>
          <w:rPr>
            <w:rStyle w:val="Hyperlink"/>
            <w:rFonts w:ascii="Times New Roman" w:hAnsi="Times New Roman"/>
            <w:b w:val="false"/>
            <w:i w:val="false"/>
            <w:color w:val="0000ff"/>
            <w:sz w:val="22"/>
            <w:u w:val="single"/>
          </w:rPr>
          <w:t>5123.803 Policy.</w:t>
        </w:r>
      </w:hyperlink>
    </w:p>
    <w:p>
      <w:pPr>
        <w:spacing w:after="0"/>
        <w:jc w:val="left"/>
        <w:ind w:left="720" w:hanging="360"/>
      </w:pPr>
      <w:hyperlink w:anchor="AFARS_Subpart_5123.9">
        <w:r>
          <w:rPr>
            <w:rStyle w:val="Hyperlink"/>
            <w:rFonts w:ascii="Times New Roman" w:hAnsi="Times New Roman"/>
            <w:b w:val="false"/>
            <w:i w:val="false"/>
            <w:color w:val="0000ff"/>
            <w:sz w:val="22"/>
            <w:u w:val="single"/>
          </w:rPr>
          <w:t>Subpart 5123.9 – Contractor Compliance With Environmental Management Systems</w:t>
        </w:r>
      </w:hyperlink>
    </w:p>
    <w:p>
      <w:pPr>
        <w:spacing w:after="0"/>
        <w:jc w:val="left"/>
        <w:ind w:left="1440" w:hanging="360"/>
      </w:pPr>
      <w:hyperlink w:anchor="AFARS_5123.903">
        <w:r>
          <w:rPr>
            <w:rStyle w:val="Hyperlink"/>
            <w:rFonts w:ascii="Times New Roman" w:hAnsi="Times New Roman"/>
            <w:b w:val="false"/>
            <w:i w:val="false"/>
            <w:color w:val="0000ff"/>
            <w:sz w:val="22"/>
            <w:u w:val="single"/>
          </w:rPr>
          <w:t>5123.903 Contract clause.</w:t>
        </w:r>
      </w:hyperlink>
    </w:p>
    <!-- Created by docx4j 6.1.2 (Apache licensed) using REFERENCE JAXB in Oracle Java 15 on Linux -->
    <w:p>
      <w:pPr>
        <w:pStyle w:val="Heading2"/>
        <w:spacing w:after="180"/>
        <w:ind w:left="120"/>
        <w:jc w:val="center"/>
      </w:pPr>
      <w:bookmarkStart w:name="AFARS_Subpart_5123.1" w:id="1"/>
      <w:r>
        <w:rPr>
          <w:rFonts w:ascii="Times New Roman" w:hAnsi="Times New Roman"/>
          <w:color w:val="000000"/>
          <w:sz w:val="36"/>
        </w:rPr>
        <w:t>Subpart 5123.1</w:t>
      </w:r>
      <w:r>
        <w:rPr>
          <w:rFonts w:ascii="Times New Roman" w:hAnsi="Times New Roman"/>
          <w:color w:val="000000"/>
          <w:sz w:val="36"/>
        </w:rPr>
        <w:t xml:space="preserve"> – Sustainable Acquisition Policy</w:t>
      </w:r>
      <w:bookmarkEnd w:id="1"/>
    </w:p>
    <!-- Created by docx4j 6.1.2 (Apache licensed) using REFERENCE JAXB in Oracle Java 15 on Linux -->
    <w:p>
      <w:pPr>
        <w:pStyle w:val="Heading3"/>
        <w:spacing w:after="199"/>
        <w:ind w:left="120"/>
        <w:jc w:val="left"/>
      </w:pPr>
      <w:bookmarkStart w:name="AFARS_5123.104" w:id="2"/>
      <w:r>
        <w:rPr>
          <w:rFonts w:ascii="Times New Roman" w:hAnsi="Times New Roman"/>
          <w:color w:val="000000"/>
          <w:sz w:val="31"/>
        </w:rPr>
        <w:t>5123.104</w:t>
      </w:r>
      <w:r>
        <w:rPr>
          <w:rFonts w:ascii="Times New Roman" w:hAnsi="Times New Roman"/>
          <w:color w:val="000000"/>
          <w:sz w:val="31"/>
        </w:rPr>
        <w:t xml:space="preserve"> Exceptions.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make the determination at FAR 23.104(a). See Appendix GG for further delegation.</w:t>
      </w:r>
    </w:p>
    <!-- Created by docx4j 6.1.2 (Apache licensed) using REFERENCE JAXB in Oracle Java 15 on Linux -->
    <w:p>
      <w:pPr>
        <w:pStyle w:val="Heading3"/>
        <w:spacing w:after="199"/>
        <w:ind w:left="120"/>
        <w:jc w:val="left"/>
      </w:pPr>
      <w:bookmarkStart w:name="AFARS_5123.105" w:id="3"/>
      <w:r>
        <w:rPr>
          <w:rFonts w:ascii="Times New Roman" w:hAnsi="Times New Roman"/>
          <w:color w:val="000000"/>
          <w:sz w:val="31"/>
        </w:rPr>
        <w:t>5123.105</w:t>
      </w:r>
      <w:r>
        <w:rPr>
          <w:rFonts w:ascii="Times New Roman" w:hAnsi="Times New Roman"/>
          <w:color w:val="000000"/>
          <w:sz w:val="31"/>
        </w:rPr>
        <w:t xml:space="preserve"> Exemption authority.</w:t>
      </w:r>
      <w:bookmarkEnd w:id="3"/>
    </w:p>
    <w:p>
      <w:pPr>
        <w:pStyle w:val="Normal"/>
        <w:pBdr>
          <w:top w:space="5"/>
          <w:left w:space="5"/>
          <w:bottom w:space="5"/>
          <w:right w:space="5"/>
        </w:pBdr>
        <w:spacing w:after="0"/>
        <w:ind w:left="225"/>
        <w:jc w:val="left"/>
      </w:pPr>
      <w:r>
        <w:rPr>
          <w:rFonts w:ascii="Times New Roman" w:hAnsi="Times New Roman"/>
          <w:color w:val="000000"/>
        </w:rPr>
        <w:t>The Assistant Secretary of the Army (Acquisition, Logistics and Technology), on a non-delegable basis, makes exemptions as set forth in FAR 23.105.</w:t>
      </w:r>
    </w:p>
    <!-- Created by docx4j 6.1.2 (Apache licensed) using REFERENCE JAXB in Oracle Java 15 on Linux -->
    <w:p>
      <w:pPr>
        <w:pStyle w:val="Heading2"/>
        <w:spacing w:after="180"/>
        <w:ind w:left="120"/>
        <w:jc w:val="center"/>
      </w:pPr>
      <w:bookmarkStart w:name="AFARS_Subpart_5123.2" w:id="4"/>
      <w:r>
        <w:rPr>
          <w:rFonts w:ascii="Times New Roman" w:hAnsi="Times New Roman"/>
          <w:color w:val="000000"/>
          <w:sz w:val="36"/>
        </w:rPr>
        <w:t>Subpart 5123.2</w:t>
      </w:r>
      <w:r>
        <w:rPr>
          <w:rFonts w:ascii="Times New Roman" w:hAnsi="Times New Roman"/>
          <w:color w:val="000000"/>
          <w:sz w:val="36"/>
        </w:rPr>
        <w:t xml:space="preserve"> – Energy and Water Efficiency and Renewable Energy</w:t>
      </w:r>
      <w:bookmarkEnd w:id="4"/>
    </w:p>
    <!-- Created by docx4j 6.1.2 (Apache licensed) using REFERENCE JAXB in Oracle Java 15 on Linux -->
    <w:p>
      <w:pPr>
        <w:pStyle w:val="Heading3"/>
        <w:spacing w:after="199"/>
        <w:ind w:left="120"/>
        <w:jc w:val="left"/>
      </w:pPr>
      <w:bookmarkStart w:name="AFARS_5123.204" w:id="5"/>
      <w:r>
        <w:rPr>
          <w:rFonts w:ascii="Times New Roman" w:hAnsi="Times New Roman"/>
          <w:color w:val="000000"/>
          <w:sz w:val="31"/>
        </w:rPr>
        <w:t>5123.204</w:t>
      </w:r>
      <w:r>
        <w:rPr>
          <w:rFonts w:ascii="Times New Roman" w:hAnsi="Times New Roman"/>
          <w:color w:val="000000"/>
          <w:sz w:val="31"/>
        </w:rPr>
        <w:t xml:space="preserve"> Procurement exemptions.</w:t>
      </w:r>
      <w:bookmarkEnd w:id="5"/>
    </w:p>
    <w:p>
      <w:pPr>
        <w:pStyle w:val="Normal"/>
        <w:pBdr>
          <w:top w:space="5"/>
          <w:left w:space="5"/>
          <w:bottom w:space="5"/>
          <w:right w:space="5"/>
        </w:pBdr>
        <w:spacing w:after="0"/>
        <w:ind w:left="225"/>
        <w:jc w:val="left"/>
      </w:pPr>
      <w:r>
        <w:rPr>
          <w:rFonts w:ascii="Times New Roman" w:hAnsi="Times New Roman"/>
          <w:color w:val="000000"/>
        </w:rPr>
        <w:t>The Assistant Secretary of the Army (Acquisition, Logistics and Technology) has the authority to make the determination at FAR 23.204. See Appendix GG for further delegation.</w:t>
      </w:r>
    </w:p>
    <!-- Created by docx4j 6.1.2 (Apache licensed) using REFERENCE JAXB in Oracle Java 15 on Linux -->
    <w:p>
      <w:pPr>
        <w:pStyle w:val="Heading3"/>
        <w:spacing w:after="199"/>
        <w:ind w:left="120"/>
        <w:jc w:val="left"/>
      </w:pPr>
      <w:bookmarkStart w:name="AFARS_5123.205" w:id="6"/>
      <w:r>
        <w:rPr>
          <w:rFonts w:ascii="Times New Roman" w:hAnsi="Times New Roman"/>
          <w:color w:val="000000"/>
          <w:sz w:val="31"/>
        </w:rPr>
        <w:t>5123.205</w:t>
      </w:r>
      <w:r>
        <w:rPr>
          <w:rFonts w:ascii="Times New Roman" w:hAnsi="Times New Roman"/>
          <w:color w:val="000000"/>
          <w:sz w:val="31"/>
        </w:rPr>
        <w:t xml:space="preserve"> Energy–savings performance contracts.</w:t>
      </w:r>
      <w:bookmarkEnd w:id="6"/>
    </w:p>
    <w:p>
      <w:pPr>
        <w:pStyle w:val="Normal"/>
        <w:pBdr>
          <w:top w:space="5"/>
          <w:left w:space="5"/>
          <w:bottom w:space="5"/>
          <w:right w:space="5"/>
        </w:pBdr>
        <w:spacing w:after="0"/>
        <w:ind w:left="225"/>
        <w:jc w:val="left"/>
      </w:pPr>
      <w:r>
        <w:rPr>
          <w:rFonts w:ascii="Times New Roman" w:hAnsi="Times New Roman"/>
          <w:color w:val="000000"/>
        </w:rPr>
        <w:t>Energy-savings performance contracts are service contracts and require inclusion of a quality assurance surveillance plan in the contract file.</w:t>
      </w:r>
    </w:p>
    <!-- Created by docx4j 6.1.2 (Apache licensed) using REFERENCE JAXB in Oracle Java 15 on Linux -->
    <w:p>
      <w:pPr>
        <w:pStyle w:val="Heading2"/>
        <w:spacing w:after="180"/>
        <w:ind w:left="120"/>
        <w:jc w:val="center"/>
      </w:pPr>
      <w:bookmarkStart w:name="AFARS_Subpart_5123.3" w:id="7"/>
      <w:r>
        <w:rPr>
          <w:rFonts w:ascii="Times New Roman" w:hAnsi="Times New Roman"/>
          <w:color w:val="000000"/>
          <w:sz w:val="36"/>
        </w:rPr>
        <w:t>Subpart 5123.3</w:t>
      </w:r>
      <w:r>
        <w:rPr>
          <w:rFonts w:ascii="Times New Roman" w:hAnsi="Times New Roman"/>
          <w:color w:val="000000"/>
          <w:sz w:val="36"/>
        </w:rPr>
        <w:t xml:space="preserve"> – Hazardous Material Identification and Material Safety Data</w:t>
      </w:r>
      <w:bookmarkEnd w:id="7"/>
    </w:p>
    <!-- Created by docx4j 6.1.2 (Apache licensed) using REFERENCE JAXB in Oracle Java 15 on Linux -->
    <w:p>
      <w:pPr>
        <w:pStyle w:val="Heading3"/>
        <w:spacing w:after="199"/>
        <w:ind w:left="120"/>
        <w:jc w:val="left"/>
      </w:pPr>
      <w:bookmarkStart w:name="AFARS_5123.302" w:id="8"/>
      <w:r>
        <w:rPr>
          <w:rFonts w:ascii="Times New Roman" w:hAnsi="Times New Roman"/>
          <w:color w:val="000000"/>
          <w:sz w:val="31"/>
        </w:rPr>
        <w:t>5123.302</w:t>
      </w:r>
      <w:r>
        <w:rPr>
          <w:rFonts w:ascii="Times New Roman" w:hAnsi="Times New Roman"/>
          <w:color w:val="000000"/>
          <w:sz w:val="31"/>
        </w:rPr>
        <w:t xml:space="preserve"> Policy.</w:t>
      </w:r>
      <w:bookmarkEnd w:id="8"/>
    </w:p>
    <w:p>
      <w:pPr>
        <w:pBdr>
          <w:top w:space="5"/>
          <w:left w:space="5"/>
          <w:bottom w:space="5"/>
          <w:right w:space="5"/>
        </w:pBdr>
        <w:spacing w:after="0"/>
        <w:ind w:left="225"/>
        <w:jc w:val="left"/>
      </w:pPr>
      <w:r>
        <w:rPr>
          <w:rFonts w:ascii="Times New Roman" w:hAnsi="Times New Roman"/>
          <w:b w:val="false"/>
          <w:i w:val="false"/>
          <w:color w:val="000000"/>
          <w:sz w:val="22"/>
        </w:rPr>
        <w:t>(d) See Army Regulation 700-141 for instructions for obtaining and processing Material Safety Data Sheets.</w:t>
      </w:r>
    </w:p>
    <w:p>
      <w:pPr>
        <w:pBdr>
          <w:top w:space="5"/>
          <w:left w:space="5"/>
          <w:bottom w:space="5"/>
          <w:right w:space="5"/>
        </w:pBdr>
        <w:spacing w:after="0"/>
        <w:ind w:left="225"/>
        <w:jc w:val="left"/>
      </w:pPr>
      <w:r>
        <w:rPr>
          <w:rFonts w:ascii="Times New Roman" w:hAnsi="Times New Roman"/>
          <w:b w:val="false"/>
          <w:i w:val="false"/>
          <w:color w:val="000000"/>
          <w:sz w:val="22"/>
        </w:rPr>
        <w:t>(e) The contracting officer shall provide hazard warning labels and Material Safety Data Sheets to the safety office in accordance with Army Regulation 700-141.</w:t>
      </w:r>
    </w:p>
    <!-- Created by docx4j 6.1.2 (Apache licensed) using REFERENCE JAXB in Oracle Java 15 on Linux -->
    <w:p>
      <w:pPr>
        <w:pStyle w:val="Heading3"/>
        <w:spacing w:after="199"/>
        <w:ind w:left="120"/>
        <w:jc w:val="left"/>
      </w:pPr>
      <w:bookmarkStart w:name="AFARS_5123.370" w:id="9"/>
      <w:r>
        <w:rPr>
          <w:rFonts w:ascii="Times New Roman" w:hAnsi="Times New Roman"/>
          <w:color w:val="000000"/>
          <w:sz w:val="31"/>
        </w:rPr>
        <w:t>5123.370</w:t>
      </w:r>
      <w:r>
        <w:rPr>
          <w:rFonts w:ascii="Times New Roman" w:hAnsi="Times New Roman"/>
          <w:color w:val="000000"/>
          <w:sz w:val="31"/>
        </w:rPr>
        <w:t xml:space="preserve"> Safety precautions for ammunition and explosives.</w:t>
      </w:r>
      <w:bookmarkEnd w:id="9"/>
    </w:p>
    <!-- Created by docx4j 6.1.2 (Apache licensed) using REFERENCE JAXB in Oracle Java 15 on Linux -->
    <w:p>
      <w:pPr>
        <w:pStyle w:val="Heading4"/>
        <w:spacing w:after="269"/>
        <w:ind w:left="120"/>
        <w:jc w:val="left"/>
      </w:pPr>
      <w:bookmarkStart w:name="AFARS_5123.3704" w:id="10"/>
      <w:r>
        <w:rPr>
          <w:rFonts w:ascii="Times New Roman" w:hAnsi="Times New Roman"/>
          <w:i w:val="false"/>
          <w:color w:val="000000"/>
          <w:sz w:val="24"/>
        </w:rPr>
        <w:t>5123.370-4</w:t>
      </w:r>
      <w:r>
        <w:rPr>
          <w:rFonts w:ascii="Times New Roman" w:hAnsi="Times New Roman"/>
          <w:i w:val="false"/>
          <w:color w:val="000000"/>
          <w:sz w:val="24"/>
        </w:rPr>
        <w:t xml:space="preserve"> Procedures.</w:t>
      </w:r>
      <w:bookmarkEnd w:id="10"/>
    </w:p>
    <w:p>
      <w:pPr>
        <w:pBdr>
          <w:top w:space="5"/>
          <w:left w:space="5"/>
          <w:bottom w:space="5"/>
          <w:right w:space="5"/>
        </w:pBdr>
        <w:spacing w:after="0"/>
        <w:ind w:left="585"/>
        <w:jc w:val="left"/>
      </w:pPr>
      <w:r>
        <w:rPr>
          <w:rFonts w:ascii="Times New Roman" w:hAnsi="Times New Roman"/>
          <w:b w:val="false"/>
          <w:i w:val="false"/>
          <w:color w:val="000000"/>
          <w:sz w:val="22"/>
        </w:rPr>
        <w:t>(1)(i) The head of the contracting activity shall approve the waiver of the mandatory requirements at DFARS PGI 222.370-4(1)(i). See Appendix GG for further delegation.</w:t>
      </w:r>
    </w:p>
    <!-- Created by docx4j 6.1.2 (Apache licensed) using REFERENCE JAXB in Oracle Java 15 on Linux -->
    <w:p>
      <w:pPr>
        <w:pStyle w:val="Heading2"/>
        <w:spacing w:after="180"/>
        <w:ind w:left="120"/>
        <w:jc w:val="center"/>
      </w:pPr>
      <w:bookmarkStart w:name="AFARS_Subpart_5123.8" w:id="11"/>
      <w:r>
        <w:rPr>
          <w:rFonts w:ascii="Times New Roman" w:hAnsi="Times New Roman"/>
          <w:color w:val="000000"/>
          <w:sz w:val="36"/>
        </w:rPr>
        <w:t>Subpart 5123.8</w:t>
      </w:r>
      <w:r>
        <w:rPr>
          <w:rFonts w:ascii="Times New Roman" w:hAnsi="Times New Roman"/>
          <w:color w:val="000000"/>
          <w:sz w:val="36"/>
        </w:rPr>
        <w:t xml:space="preserve"> – Ozone–Depleting Substances</w:t>
      </w:r>
      <w:bookmarkEnd w:id="11"/>
    </w:p>
    <!-- Created by docx4j 6.1.2 (Apache licensed) using REFERENCE JAXB in Oracle Java 15 on Linux -->
    <w:p>
      <w:pPr>
        <w:pStyle w:val="Heading3"/>
        <w:spacing w:after="199"/>
        <w:ind w:left="120"/>
        <w:jc w:val="left"/>
      </w:pPr>
      <w:bookmarkStart w:name="AFARS_5123.803" w:id="12"/>
      <w:r>
        <w:rPr>
          <w:rFonts w:ascii="Times New Roman" w:hAnsi="Times New Roman"/>
          <w:color w:val="000000"/>
          <w:sz w:val="31"/>
        </w:rPr>
        <w:t>5123.803</w:t>
      </w:r>
      <w:r>
        <w:rPr>
          <w:rFonts w:ascii="Times New Roman" w:hAnsi="Times New Roman"/>
          <w:color w:val="000000"/>
          <w:sz w:val="31"/>
        </w:rPr>
        <w:t xml:space="preserve"> Policy.</w:t>
      </w:r>
      <w:bookmarkEnd w:id="12"/>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Contracts.</w:t>
      </w:r>
    </w:p>
    <w:p>
      <w:pPr>
        <w:pBdr>
          <w:top w:space="5"/>
          <w:left w:space="5"/>
          <w:bottom w:space="5"/>
          <w:right w:space="5"/>
        </w:pBdr>
        <w:spacing w:after="0"/>
        <w:ind w:left="945"/>
        <w:jc w:val="left"/>
      </w:pPr>
      <w:r>
        <w:rPr>
          <w:rFonts w:ascii="Times New Roman" w:hAnsi="Times New Roman"/>
          <w:b w:val="false"/>
          <w:i w:val="false"/>
          <w:color w:val="000000"/>
          <w:sz w:val="22"/>
        </w:rPr>
        <w:t>(i) The organization with primary responsibility for determining the principal specifications and standards cited in the solicitation or contract is responsible for obtaining authorization to include the specification or standard in the contract.</w:t>
      </w:r>
    </w:p>
    <w:p>
      <w:pPr>
        <w:pBdr>
          <w:top w:space="5"/>
          <w:left w:space="5"/>
          <w:bottom w:space="5"/>
          <w:right w:space="5"/>
        </w:pBdr>
        <w:spacing w:after="0"/>
        <w:ind w:left="945"/>
        <w:jc w:val="left"/>
      </w:pPr>
      <w:r>
        <w:rPr>
          <w:rFonts w:ascii="Times New Roman" w:hAnsi="Times New Roman"/>
          <w:b w:val="false"/>
          <w:i w:val="false"/>
          <w:color w:val="000000"/>
          <w:sz w:val="22"/>
        </w:rPr>
        <w:t>(ii) The approving official must be from the technical or program organization with primary responsibility for determining the equipment or systems specifications and standards.</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Modifications.</w:t>
      </w:r>
    </w:p>
    <w:p>
      <w:pPr>
        <w:pBdr>
          <w:top w:space="5"/>
          <w:left w:space="5"/>
          <w:bottom w:space="5"/>
          <w:right w:space="5"/>
        </w:pBdr>
        <w:spacing w:after="0"/>
        <w:ind w:left="945"/>
        <w:jc w:val="left"/>
      </w:pPr>
      <w:r>
        <w:rPr>
          <w:rFonts w:ascii="Times New Roman" w:hAnsi="Times New Roman"/>
          <w:b w:val="false"/>
          <w:i w:val="false"/>
          <w:color w:val="000000"/>
          <w:sz w:val="22"/>
        </w:rPr>
        <w:t>(i) For contracts administered by the Army, the contracting officer must obtain an evaluation and written determination of the suitability of proposed substitutes for ozone-depleting substances from the organization in (1)(i).</w:t>
      </w:r>
    </w:p>
    <w:p>
      <w:pPr>
        <w:pBdr>
          <w:top w:space="5"/>
          <w:left w:space="5"/>
          <w:bottom w:space="5"/>
          <w:right w:space="5"/>
        </w:pBdr>
        <w:spacing w:after="0"/>
        <w:ind w:left="945"/>
        <w:jc w:val="left"/>
      </w:pPr>
      <w:r>
        <w:rPr>
          <w:rFonts w:ascii="Times New Roman" w:hAnsi="Times New Roman"/>
          <w:b w:val="false"/>
          <w:i w:val="false"/>
          <w:color w:val="000000"/>
          <w:sz w:val="22"/>
        </w:rPr>
        <w:t>(ii) The written determination must be based on a certification by a technical representative of the</w:t>
      </w:r>
    </w:p>
    <w:p>
      <w:pPr>
        <w:pBdr>
          <w:top w:space="5"/>
          <w:left w:space="5"/>
          <w:bottom w:space="5"/>
          <w:right w:space="5"/>
        </w:pBdr>
        <w:spacing w:after="0"/>
        <w:ind w:left="945"/>
        <w:jc w:val="left"/>
      </w:pPr>
    </w:p>
    <w:p>
      <w:pPr>
        <w:pBdr>
          <w:top w:space="5"/>
          <w:left w:space="5"/>
          <w:bottom w:space="5"/>
          <w:right w:space="5"/>
        </w:pBdr>
        <w:spacing w:after="0"/>
        <w:ind w:left="945"/>
        <w:jc w:val="left"/>
      </w:pPr>
      <w:r>
        <w:rPr>
          <w:rFonts w:ascii="Times New Roman" w:hAnsi="Times New Roman"/>
          <w:b w:val="false"/>
          <w:i w:val="false"/>
          <w:color w:val="000000"/>
          <w:sz w:val="22"/>
        </w:rPr>
        <w:t>Environmental Support Office</w:t>
      </w:r>
    </w:p>
    <w:p>
      <w:pPr>
        <w:pBdr>
          <w:top w:space="5"/>
          <w:left w:space="5"/>
          <w:bottom w:space="5"/>
          <w:right w:space="5"/>
        </w:pBdr>
        <w:spacing w:after="0"/>
        <w:ind w:left="945"/>
        <w:jc w:val="left"/>
      </w:pPr>
      <w:r>
        <w:rPr>
          <w:rFonts w:ascii="Times New Roman" w:hAnsi="Times New Roman"/>
          <w:b w:val="false"/>
          <w:i w:val="false"/>
          <w:color w:val="000000"/>
          <w:sz w:val="22"/>
        </w:rPr>
        <w:t>Headquarters, Department of the Army</w:t>
      </w:r>
    </w:p>
    <w:p>
      <w:pPr>
        <w:pBdr>
          <w:top w:space="5"/>
          <w:left w:space="5"/>
          <w:bottom w:space="5"/>
          <w:right w:space="5"/>
        </w:pBdr>
        <w:spacing w:after="0"/>
        <w:ind w:left="945"/>
        <w:jc w:val="left"/>
      </w:pPr>
      <w:r>
        <w:rPr>
          <w:rFonts w:ascii="Times New Roman" w:hAnsi="Times New Roman"/>
          <w:b w:val="false"/>
          <w:i w:val="false"/>
          <w:color w:val="000000"/>
          <w:sz w:val="22"/>
        </w:rPr>
        <w:t>2800 Crystal Drive, 5th Floor</w:t>
      </w:r>
    </w:p>
    <w:p>
      <w:pPr>
        <w:pBdr>
          <w:top w:space="5"/>
          <w:left w:space="5"/>
          <w:bottom w:space="5"/>
          <w:right w:space="5"/>
        </w:pBdr>
        <w:spacing w:after="0"/>
        <w:ind w:left="945"/>
        <w:jc w:val="left"/>
      </w:pPr>
      <w:r>
        <w:rPr>
          <w:rFonts w:ascii="Times New Roman" w:hAnsi="Times New Roman"/>
          <w:b w:val="false"/>
          <w:i w:val="false"/>
          <w:color w:val="000000"/>
          <w:sz w:val="22"/>
        </w:rPr>
        <w:t>Arlington, VA 22202-3911,</w:t>
      </w:r>
    </w:p>
    <w:p>
      <w:pPr>
        <w:pBdr>
          <w:top w:space="5"/>
          <w:left w:space="5"/>
          <w:bottom w:space="5"/>
          <w:right w:space="5"/>
        </w:pBdr>
        <w:spacing w:after="0"/>
        <w:ind w:left="945"/>
        <w:jc w:val="left"/>
      </w:pPr>
    </w:p>
    <w:p>
      <w:pPr>
        <w:pBdr>
          <w:top w:space="5"/>
          <w:left w:space="5"/>
          <w:bottom w:space="5"/>
          <w:right w:space="5"/>
        </w:pBdr>
        <w:spacing w:after="0"/>
        <w:ind w:left="945"/>
        <w:jc w:val="left"/>
      </w:pPr>
      <w:r>
        <w:rPr>
          <w:rFonts w:ascii="Times New Roman" w:hAnsi="Times New Roman"/>
          <w:b w:val="false"/>
          <w:i w:val="false"/>
          <w:color w:val="000000"/>
          <w:sz w:val="22"/>
        </w:rPr>
        <w:t>in coordination with the requiring activity. Elevate any dispute concerning what constitutes a suitable substitute through the requiring activity’s leadership to the Army Acquisition Executive for a final decision.</w:t>
      </w:r>
    </w:p>
    <!-- Created by docx4j 6.1.2 (Apache licensed) using REFERENCE JAXB in Oracle Java 15 on Linux -->
    <w:p>
      <w:pPr>
        <w:pStyle w:val="Heading2"/>
        <w:spacing w:after="180"/>
        <w:ind w:left="120"/>
        <w:jc w:val="center"/>
      </w:pPr>
      <w:bookmarkStart w:name="AFARS_Subpart_5123.9" w:id="13"/>
      <w:r>
        <w:rPr>
          <w:rFonts w:ascii="Times New Roman" w:hAnsi="Times New Roman"/>
          <w:color w:val="000000"/>
          <w:sz w:val="36"/>
        </w:rPr>
        <w:t>Subpart 5123.9</w:t>
      </w:r>
      <w:r>
        <w:rPr>
          <w:rFonts w:ascii="Times New Roman" w:hAnsi="Times New Roman"/>
          <w:color w:val="000000"/>
          <w:sz w:val="36"/>
        </w:rPr>
        <w:t xml:space="preserve"> – Contractor Compliance With Environmental Management Systems</w:t>
      </w:r>
      <w:bookmarkEnd w:id="13"/>
    </w:p>
    <!-- Created by docx4j 6.1.2 (Apache licensed) using REFERENCE JAXB in Oracle Java 15 on Linux -->
    <w:p>
      <w:pPr>
        <w:pStyle w:val="Heading3"/>
        <w:spacing w:after="199"/>
        <w:ind w:left="120"/>
        <w:jc w:val="left"/>
      </w:pPr>
      <w:bookmarkStart w:name="AFARS_5123.903" w:id="14"/>
      <w:r>
        <w:rPr>
          <w:rFonts w:ascii="Times New Roman" w:hAnsi="Times New Roman"/>
          <w:color w:val="000000"/>
          <w:sz w:val="31"/>
        </w:rPr>
        <w:t>5123.903</w:t>
      </w:r>
      <w:r>
        <w:rPr>
          <w:rFonts w:ascii="Times New Roman" w:hAnsi="Times New Roman"/>
          <w:color w:val="000000"/>
          <w:sz w:val="31"/>
        </w:rPr>
        <w:t xml:space="preserve"> Contract clause.</w:t>
      </w:r>
      <w:bookmarkEnd w:id="14"/>
    </w:p>
    <w:p>
      <w:pPr>
        <w:pBdr>
          <w:top w:space="5"/>
          <w:left w:space="5"/>
          <w:bottom w:space="5"/>
          <w:right w:space="5"/>
        </w:pBdr>
        <w:spacing w:after="0"/>
        <w:ind w:left="585"/>
        <w:jc w:val="left"/>
      </w:pPr>
      <w:r>
        <w:rPr>
          <w:rFonts w:ascii="Times New Roman" w:hAnsi="Times New Roman"/>
          <w:b w:val="false"/>
          <w:i w:val="false"/>
          <w:color w:val="000000"/>
          <w:sz w:val="22"/>
        </w:rPr>
        <w:t>The Assistant Secretary of the Army (Acquisition, Logistics and Technology) shall make the determination as described in FAR 23.903. See Appendix GG for further delegation.</w:t>
      </w:r>
    </w:p>
    <w:sectPr>
      <w:pgSz w:w="12240" w:h="15840" w:code="1"/>
      <w:pgMar w:top="1440" w:right="1440" w:bottom="1440" w:left="1440"/>
      <w:pgNumType w:start="1"/>
      <w:footerReference w:type="default" r:id="Rd0a2d726e2854f8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0a2d726e2854f8c" /><Relationship Type="http://schemas.openxmlformats.org/officeDocument/2006/relationships/hyperlink" Target="Subpart_5123.1.dita#AFARS_Subpart_5123.1" TargetMode="External" Id="Rc3ae2342e2a74655" /><Relationship Type="http://schemas.openxmlformats.org/officeDocument/2006/relationships/hyperlink" Target="5123.104.dita#AFARS_5123.104" TargetMode="External" Id="Rbaef2bc1ce8346aa" /><Relationship Type="http://schemas.openxmlformats.org/officeDocument/2006/relationships/hyperlink" Target="5123.105.dita#AFARS_5123.105" TargetMode="External" Id="R1d2a263a3d324107" /><Relationship Type="http://schemas.openxmlformats.org/officeDocument/2006/relationships/hyperlink" Target="Subpart_5123.2.dita#AFARS_Subpart_5123.2" TargetMode="External" Id="R5c136496c3b64f74" /><Relationship Type="http://schemas.openxmlformats.org/officeDocument/2006/relationships/hyperlink" Target="5123.204.dita#AFARS_5123.204" TargetMode="External" Id="R2fbfa684be1f43ed" /><Relationship Type="http://schemas.openxmlformats.org/officeDocument/2006/relationships/hyperlink" Target="5123.205.dita#AFARS_5123.205" TargetMode="External" Id="Rc16f95f8ba4d4bfe" /><Relationship Type="http://schemas.openxmlformats.org/officeDocument/2006/relationships/hyperlink" Target="Subpart_5123.3.dita#AFARS_Subpart_5123.3" TargetMode="External" Id="R27de6c76ea16403d" /><Relationship Type="http://schemas.openxmlformats.org/officeDocument/2006/relationships/hyperlink" Target="5123.302.dita#AFARS_5123.302" TargetMode="External" Id="R2c0173bd628b4379" /><Relationship Type="http://schemas.openxmlformats.org/officeDocument/2006/relationships/hyperlink" Target="5123.370.dita#AFARS_5123.370" TargetMode="External" Id="R78c9b1e0a99d4d2a" /><Relationship Type="http://schemas.openxmlformats.org/officeDocument/2006/relationships/hyperlink" Target="5123.3704.dita#AFARS_5123.3704" TargetMode="External" Id="Rbc3b2be644a742bd" /><Relationship Type="http://schemas.openxmlformats.org/officeDocument/2006/relationships/hyperlink" Target="Subpart_5123.8.dita#AFARS_Subpart_5123.8" TargetMode="External" Id="R692c1f43e4234e4a" /><Relationship Type="http://schemas.openxmlformats.org/officeDocument/2006/relationships/hyperlink" Target="5123.803.dita#AFARS_5123.803" TargetMode="External" Id="R8c8be8c3161c4dd8" /><Relationship Type="http://schemas.openxmlformats.org/officeDocument/2006/relationships/hyperlink" Target="Subpart_5123.9.dita#AFARS_Subpart_5123.9" TargetMode="External" Id="R12675b1a60514664" /><Relationship Type="http://schemas.openxmlformats.org/officeDocument/2006/relationships/hyperlink" Target="5123.903.dita#AFARS_5123.903" TargetMode="External" Id="Rd40a97779553483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