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9" w:id="0"/>
      <w:r>
        <w:rPr>
          <w:rFonts w:ascii="Times New Roman" w:hAnsi="Times New Roman"/>
          <w:color w:val="000000"/>
          <w:sz w:val="48"/>
        </w:rPr>
        <w:t>AFARS – PART 5139</w:t>
      </w:r>
      <w:r>
        <w:rPr>
          <w:rFonts w:ascii="Times New Roman" w:hAnsi="Times New Roman"/>
          <w:color w:val="000000"/>
          <w:sz w:val="48"/>
        </w:rPr>
        <w:t xml:space="preserve"> Acquisition of Information Technology</w:t>
      </w:r>
      <w:bookmarkEnd w:id="0"/>
    </w:p>
    <w:p>
      <w:pPr>
        <w:spacing w:after="0"/>
        <w:jc w:val="left"/>
        <w:ind w:left="720" w:hanging="360"/>
      </w:pPr>
      <w:hyperlink w:anchor="AFARS_Subpart_5139.1">
        <w:r>
          <w:rPr>
            <w:rStyle w:val="Hyperlink"/>
            <w:rFonts w:ascii="Times New Roman" w:hAnsi="Times New Roman"/>
            <w:b w:val="false"/>
            <w:i w:val="false"/>
            <w:color w:val="0000ff"/>
            <w:sz w:val="22"/>
            <w:u w:val="single"/>
          </w:rPr>
          <w:t>Subpart 5139.1 – General</w:t>
        </w:r>
      </w:hyperlink>
    </w:p>
    <w:p>
      <w:pPr>
        <w:spacing w:after="0"/>
        <w:jc w:val="left"/>
        <w:ind w:left="1440" w:hanging="360"/>
      </w:pPr>
      <w:hyperlink w:anchor="AFARS_5139.101">
        <w:r>
          <w:rPr>
            <w:rStyle w:val="Hyperlink"/>
            <w:rFonts w:ascii="Times New Roman" w:hAnsi="Times New Roman"/>
            <w:b w:val="false"/>
            <w:i w:val="false"/>
            <w:color w:val="0000ff"/>
            <w:sz w:val="22"/>
            <w:u w:val="single"/>
          </w:rPr>
          <w:t>5139.101 Policy.</w:t>
        </w:r>
      </w:hyperlink>
    </w:p>
    <w:p>
      <w:pPr>
        <w:spacing w:after="0"/>
        <w:jc w:val="left"/>
        <w:ind w:left="2160" w:hanging="180"/>
      </w:pPr>
      <w:hyperlink w:anchor="AFARS_5139.10190">
        <w:r>
          <w:rPr>
            <w:rStyle w:val="Hyperlink"/>
            <w:rFonts w:ascii="Times New Roman" w:hAnsi="Times New Roman"/>
            <w:b w:val="false"/>
            <w:i w:val="false"/>
            <w:color w:val="0000ff"/>
            <w:sz w:val="22"/>
            <w:u w:val="single"/>
          </w:rPr>
          <w:t>5139.101-90 Policy.</w:t>
        </w:r>
      </w:hyperlink>
    </w:p>
    <w:p>
      <w:pPr>
        <w:spacing w:after="0"/>
        <w:jc w:val="left"/>
        <w:ind w:left="720" w:hanging="360"/>
      </w:pPr>
      <w:hyperlink w:anchor="AFARS_Subpart_5139.74">
        <w:r>
          <w:rPr>
            <w:rStyle w:val="Hyperlink"/>
            <w:rFonts w:ascii="Times New Roman" w:hAnsi="Times New Roman"/>
            <w:b w:val="false"/>
            <w:i w:val="false"/>
            <w:color w:val="0000ff"/>
            <w:sz w:val="22"/>
            <w:u w:val="single"/>
          </w:rPr>
          <w:t>Subpart 5139.74 – Telecommunications Services</w:t>
        </w:r>
      </w:hyperlink>
    </w:p>
    <w:p>
      <w:pPr>
        <w:spacing w:after="0"/>
        <w:jc w:val="left"/>
        <w:ind w:left="1440" w:hanging="360"/>
      </w:pPr>
      <w:hyperlink w:anchor="AFARS_5139.7402">
        <w:r>
          <w:rPr>
            <w:rStyle w:val="Hyperlink"/>
            <w:rFonts w:ascii="Times New Roman" w:hAnsi="Times New Roman"/>
            <w:b w:val="false"/>
            <w:i w:val="false"/>
            <w:color w:val="0000ff"/>
            <w:sz w:val="22"/>
            <w:u w:val="single"/>
          </w:rPr>
          <w:t>5139.7402 Policy.</w:t>
        </w:r>
      </w:hyperlink>
    </w:p>
    <w:p>
      <w:pPr>
        <w:spacing w:after="0"/>
        <w:jc w:val="left"/>
        <w:ind w:left="720" w:hanging="360"/>
      </w:pPr>
      <w:hyperlink w:anchor="AFARS_Subpart_5139.76">
        <w:r>
          <w:rPr>
            <w:rStyle w:val="Hyperlink"/>
            <w:rFonts w:ascii="Times New Roman" w:hAnsi="Times New Roman"/>
            <w:b w:val="false"/>
            <w:i w:val="false"/>
            <w:color w:val="0000ff"/>
            <w:sz w:val="22"/>
            <w:u w:val="single"/>
          </w:rPr>
          <w:t>Subpart 5139.76 – Cloud Computing</w:t>
        </w:r>
      </w:hyperlink>
    </w:p>
    <w:p>
      <w:pPr>
        <w:spacing w:after="0"/>
        <w:jc w:val="left"/>
        <w:ind w:left="1440" w:hanging="360"/>
      </w:pPr>
      <w:hyperlink w:anchor="AFARS_5139.7602">
        <w:r>
          <w:rPr>
            <w:rStyle w:val="Hyperlink"/>
            <w:rFonts w:ascii="Times New Roman" w:hAnsi="Times New Roman"/>
            <w:b w:val="false"/>
            <w:i w:val="false"/>
            <w:color w:val="0000ff"/>
            <w:sz w:val="22"/>
            <w:u w:val="single"/>
          </w:rPr>
          <w:t>5139.7602 Policy and Responsibilities.</w:t>
        </w:r>
      </w:hyperlink>
    </w:p>
    <!-- Created by docx4j 6.1.2 (Apache licensed) using REFERENCE JAXB in Oracle Java 15 on Linux -->
    <w:p>
      <w:pPr>
        <w:pStyle w:val="Heading2"/>
        <w:spacing w:after="180"/>
        <w:ind w:left="120"/>
        <w:jc w:val="center"/>
      </w:pPr>
      <w:bookmarkStart w:name="AFARS_Subpart_5139.1" w:id="1"/>
      <w:r>
        <w:rPr>
          <w:rFonts w:ascii="Times New Roman" w:hAnsi="Times New Roman"/>
          <w:color w:val="000000"/>
          <w:sz w:val="36"/>
        </w:rPr>
        <w:t>Subpart 5139.1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39.101" w:id="2"/>
      <w:r>
        <w:rPr>
          <w:rFonts w:ascii="Times New Roman" w:hAnsi="Times New Roman"/>
          <w:color w:val="000000"/>
          <w:sz w:val="31"/>
        </w:rPr>
        <w:t>5139.101</w:t>
      </w:r>
      <w:r>
        <w:rPr>
          <w:rFonts w:ascii="Times New Roman" w:hAnsi="Times New Roman"/>
          <w:color w:val="000000"/>
          <w:sz w:val="31"/>
        </w:rPr>
        <w:t xml:space="preserve"> Policy.</w:t>
      </w:r>
      <w:bookmarkEnd w:id="2"/>
    </w:p>
    <w:p>
      <w:pPr>
        <w:pBdr>
          <w:top w:space="5"/>
          <w:left w:space="5"/>
          <w:bottom w:space="5"/>
          <w:right w:space="5"/>
        </w:pBdr>
        <w:spacing w:after="0"/>
        <w:ind w:left="585"/>
        <w:jc w:val="left"/>
      </w:pPr>
      <w:r>
        <w:rPr>
          <w:rFonts w:ascii="Times New Roman" w:hAnsi="Times New Roman"/>
          <w:b w:val="false"/>
          <w:i w:val="false"/>
          <w:color w:val="000000"/>
          <w:sz w:val="22"/>
        </w:rPr>
        <w:t>(1) The head of the contracting activity has the authority to make the determination under DFARS 239.101(1).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All information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c1930a4de87543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 Created by docx4j 6.1.2 (Apache licensed) using REFERENCE JAXB in Oracle Java 15 on Linux -->
    <w:p>
      <w:pPr>
        <w:pStyle w:val="Heading4"/>
        <w:spacing w:after="269"/>
        <w:ind w:left="120"/>
        <w:jc w:val="left"/>
      </w:pPr>
      <w:bookmarkStart w:name="AFARS_5139.10190" w:id="3"/>
      <w:r>
        <w:rPr>
          <w:rFonts w:ascii="Times New Roman" w:hAnsi="Times New Roman"/>
          <w:i w:val="false"/>
          <w:color w:val="000000"/>
          <w:sz w:val="24"/>
        </w:rPr>
        <w:t>5139.101-90</w:t>
      </w:r>
      <w:r>
        <w:rPr>
          <w:rFonts w:ascii="Times New Roman" w:hAnsi="Times New Roman"/>
          <w:i w:val="false"/>
          <w:color w:val="000000"/>
          <w:sz w:val="24"/>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Commercial information t</w:t>
      </w:r>
      <w:r>
        <w:rPr>
          <w:rFonts w:ascii="Times New Roman" w:hAnsi="Times New Roman"/>
          <w:b w:val="false"/>
          <w:i/>
          <w:color w:val="000000"/>
          <w:sz w:val="22"/>
        </w:rPr>
        <w:t>echnology hardware and software.</w:t>
      </w:r>
    </w:p>
    <w:p>
      <w:pPr>
        <w:pBdr>
          <w:top w:space="5"/>
          <w:left w:space="5"/>
          <w:bottom w:space="5"/>
          <w:right w:space="5"/>
        </w:pBdr>
        <w:spacing w:after="0"/>
        <w:ind w:left="585"/>
        <w:jc w:val="left"/>
      </w:pPr>
      <w:r>
        <w:rPr>
          <w:rFonts w:ascii="Times New Roman" w:hAnsi="Times New Roman"/>
          <w:b w:val="false"/>
          <w:i w:val="false"/>
          <w:color w:val="000000"/>
          <w:sz w:val="22"/>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appropiation. Additionally, purchasers of IT requirements through a third party such as a system integrator must ensure solicitations and contract vehicles include the requirement to purchase through the CHESS and the DoD ESI agreements.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(SONA)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1e7e772e96e64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(ii) Upon receipt of the CHESS SONA from the requiring activity, Contracting Officers may purchase commercial IT hardware or software outside of the CHESS contracts, for procurements in support of</w:t>
      </w:r>
    </w:p>
    <w:p>
      <w:pPr>
        <w:pStyle w:val="Normal"/>
        <w:pBdr>
          <w:top w:space="5"/>
          <w:left w:space="5"/>
          <w:bottom w:space="5"/>
          <w:right w:space="5"/>
        </w:pBdr>
        <w:spacing w:after="0"/>
        <w:ind w:left="225"/>
        <w:jc w:val="left"/>
      </w:pPr>
      <w:r>
        <w:rPr>
          <w:rFonts w:ascii="Times New Roman" w:hAnsi="Times New Roman"/>
          <w:color w:val="000000"/>
        </w:rPr>
        <w:t>Non-Program Executive Officer (PEO)/Project Manager (PM) managed Military Intelligence Program (MIP) systems (Non-PEO/PM managed MIP systems will be requested using the Army G-2 Automated Systems Integration Database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Information technology services.</w:t>
      </w:r>
    </w:p>
    <w:p>
      <w:pPr>
        <w:pBdr>
          <w:top w:space="5"/>
          <w:left w:space="5"/>
          <w:bottom w:space="5"/>
          <w:right w:space="5"/>
        </w:pBdr>
        <w:spacing w:after="0"/>
        <w:ind w:left="585"/>
        <w:jc w:val="left"/>
      </w:pPr>
      <w:r>
        <w:rPr>
          <w:rFonts w:ascii="Times New Roman" w:hAnsi="Times New Roman"/>
          <w:b w:val="false"/>
          <w:i w:val="false"/>
          <w:color w:val="000000"/>
          <w:sz w:val="22"/>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SONA should be requested.</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SONA for items that are not available from CHESS, market research analysis, or other rationale for not using CHESS. The CHESS website located at http://chess.army.mil provides a complete list of CHESS contracts as well as information concerning ITAS Approval and CHESS SONAs. The ITAS Approval website is located at </w:t>
      </w:r>
      <w:hyperlink r:id="R868623606d9045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(3)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Training.</w:t>
      </w:r>
      <w:r>
        <w:rPr>
          <w:rFonts w:ascii="Times New Roman" w:hAnsi="Times New Roman"/>
          <w:b w:val="false"/>
          <w:i w:val="false"/>
          <w:color w:val="000000"/>
          <w:sz w:val="22"/>
        </w:rPr>
        <w:t xml:space="preserve">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1b6e750737c847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https://chess.army.mil/UserTrainingRequest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Cloud Computing</w:t>
      </w:r>
      <w:r>
        <w:rPr>
          <w:rFonts w:ascii="Times New Roman" w:hAnsi="Times New Roman"/>
          <w:b w:val="false"/>
          <w:i w:val="false"/>
          <w:color w:val="000000"/>
          <w:sz w:val="22"/>
        </w:rPr>
        <w:t>. The Army Enterprise Cloud Management Office (ECMO) is the central point for all efforts and processes related to cloud adoption across the Army. The ECMO will establish a standardized cloud architecture which is intended for use by all Army mission areas.</w:t>
      </w:r>
    </w:p>
    <w:p>
      <w:pPr>
        <w:pStyle w:val="Normal"/>
        <w:pBdr>
          <w:top w:space="5"/>
          <w:left w:space="5"/>
          <w:bottom w:space="5"/>
          <w:right w:space="5"/>
        </w:pBdr>
        <w:spacing w:after="0"/>
        <w:ind w:left="225"/>
        <w:jc w:val="left"/>
      </w:pPr>
      <w:r>
        <w:rPr>
          <w:rFonts w:ascii="Times New Roman" w:hAnsi="Times New Roman"/>
          <w:color w:val="000000"/>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2"/>
        <w:spacing w:after="180"/>
        <w:ind w:left="120"/>
        <w:jc w:val="center"/>
      </w:pPr>
      <w:bookmarkStart w:name="AFARS_Subpart_5139.74" w:id="4"/>
      <w:r>
        <w:rPr>
          <w:rFonts w:ascii="Times New Roman" w:hAnsi="Times New Roman"/>
          <w:color w:val="000000"/>
          <w:sz w:val="36"/>
        </w:rPr>
        <w:t>Subpart 5139.74</w:t>
      </w:r>
      <w:r>
        <w:rPr>
          <w:rFonts w:ascii="Times New Roman" w:hAnsi="Times New Roman"/>
          <w:color w:val="000000"/>
          <w:sz w:val="36"/>
        </w:rPr>
        <w:t xml:space="preserve"> – Telecommunications Services</w:t>
      </w:r>
      <w:bookmarkEnd w:id="4"/>
    </w:p>
    <!-- Created by docx4j 6.1.2 (Apache licensed) using REFERENCE JAXB in Oracle Java 15 on Linux -->
    <w:p>
      <w:pPr>
        <w:pStyle w:val="Heading3"/>
        <w:spacing w:after="199"/>
        <w:ind w:left="120"/>
        <w:jc w:val="left"/>
      </w:pPr>
      <w:bookmarkStart w:name="AFARS_5139.7402" w:id="5"/>
      <w:r>
        <w:rPr>
          <w:rFonts w:ascii="Times New Roman" w:hAnsi="Times New Roman"/>
          <w:color w:val="000000"/>
          <w:sz w:val="31"/>
        </w:rPr>
        <w:t>5139.7402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(b)(4) The Assistant Secretary of the Army (Acquisition, Logistics and Technology) may authorize actions as described in DFARS 239.7402(b)(4). See Appendix GG for further delegation.</w:t>
      </w:r>
    </w:p>
    <!-- Created by docx4j 6.1.2 (Apache licensed) using REFERENCE JAXB in Oracle Java 15 on Linux -->
    <w:p>
      <w:pPr>
        <w:pStyle w:val="Heading2"/>
        <w:spacing w:after="180"/>
        <w:ind w:left="120"/>
        <w:jc w:val="center"/>
      </w:pPr>
      <w:bookmarkStart w:name="AFARS_Subpart_5139.76" w:id="6"/>
      <w:r>
        <w:rPr>
          <w:rFonts w:ascii="Times New Roman" w:hAnsi="Times New Roman"/>
          <w:color w:val="000000"/>
          <w:sz w:val="36"/>
        </w:rPr>
        <w:t>Subpart 5139.76</w:t>
      </w:r>
      <w:r>
        <w:rPr>
          <w:rFonts w:ascii="Times New Roman" w:hAnsi="Times New Roman"/>
          <w:color w:val="000000"/>
          <w:sz w:val="36"/>
        </w:rPr>
        <w:t xml:space="preserve"> – Cloud Computing</w:t>
      </w:r>
      <w:bookmarkEnd w:id="6"/>
    </w:p>
    <!-- Created by docx4j 6.1.2 (Apache licensed) using REFERENCE JAXB in Oracle Java 15 on Linux -->
    <w:p>
      <w:pPr>
        <w:pStyle w:val="Heading3"/>
        <w:spacing w:after="199"/>
        <w:ind w:left="120"/>
        <w:jc w:val="left"/>
      </w:pPr>
      <w:bookmarkStart w:name="AFARS_5139.7602" w:id="7"/>
      <w:r>
        <w:rPr>
          <w:rFonts w:ascii="Times New Roman" w:hAnsi="Times New Roman"/>
          <w:color w:val="000000"/>
          <w:sz w:val="31"/>
        </w:rPr>
        <w:t>5139.7602</w:t>
      </w:r>
      <w:r>
        <w:rPr>
          <w:rFonts w:ascii="Times New Roman" w:hAnsi="Times New Roman"/>
          <w:color w:val="000000"/>
          <w:sz w:val="31"/>
        </w:rPr>
        <w:t xml:space="preserve"> Policy and Responsibilities.</w:t>
      </w:r>
      <w:bookmarkEnd w:id="7"/>
    </w:p>
    <w:p>
      <w:pPr>
        <w:pBdr>
          <w:top w:space="5"/>
          <w:left w:space="5"/>
          <w:bottom w:space="5"/>
          <w:right w:space="5"/>
        </w:pBdr>
        <w:spacing w:after="0"/>
        <w:ind w:left="585"/>
        <w:jc w:val="left"/>
      </w:pPr>
      <w:r>
        <w:rPr>
          <w:rFonts w:ascii="Times New Roman" w:hAnsi="Times New Roman"/>
          <w:b w:val="false"/>
          <w:i w:val="false"/>
          <w:color w:val="000000"/>
          <w:sz w:val="22"/>
        </w:rPr>
        <w:t>(1) Contracting Officers are responsible to ensure that Purchase Request Packages for NEW Contracts include a PWS with the approved/standard language in accordance with 5111.106 unless a waiver approved by ECMO is included. The standard language is provided in Appendix HH. The waiver must be filed in the official contract file. This includes follow-on contracts.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are responsible to ensure Purchase Request Packages for Exercising an Option on an Existing Contracts are coordinated with ECMO IAW 5111.106. The coordination document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are responsible to ensure Purchase Request Packages for issuing a New Order against an Existing Contract are coordinated with ECMO IAW 5111.106. The coordination documentation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 For New contracts to Cloud Service Providers, Contracting Officers are responsible to ensure maximum use of the Common and Data Service Descriptions as defined by ECMO in the Army Cloud Plan and issued to Contracting by DASA(P). See Appendix HH.</w:t>
      </w:r>
    </w:p>
    <w:p>
      <w:pPr>
        <w:pBdr>
          <w:top w:space="5"/>
          <w:left w:space="5"/>
          <w:bottom w:space="5"/>
          <w:right w:space="5"/>
        </w:pBdr>
        <w:spacing w:after="0"/>
        <w:ind w:left="585"/>
        <w:jc w:val="left"/>
      </w:pPr>
      <w:r>
        <w:rPr>
          <w:rFonts w:ascii="Times New Roman" w:hAnsi="Times New Roman"/>
          <w:b w:val="false"/>
          <w:i w:val="false"/>
          <w:color w:val="000000"/>
          <w:sz w:val="22"/>
        </w:rPr>
        <w:t>(5) For New contracts for Cloud Migration, Hosting, and Managed Services, Contracting Officers and requiring actitivies will maxmize use of the CLIN/SLIN descriptions. See Appendix HH.</w:t>
      </w:r>
    </w:p>
    <w:sectPr>
      <w:pgSz w:w="12240" w:h="15840" w:code="1"/>
      <w:pgMar w:top="1440" w:right="1440" w:bottom="1440" w:left="1440"/>
      <w:pgNumType w:start="1"/>
      <w:footerReference w:type="default" r:id="Rcb6f04a3cf2c461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b6f04a3cf2c4612" /><Relationship Type="http://schemas.openxmlformats.org/officeDocument/2006/relationships/hyperlink" Target="Subpart_5139.1.dita#AFARS_Subpart_5139.1" TargetMode="External" Id="Rf46758a63f4144b1" /><Relationship Type="http://schemas.openxmlformats.org/officeDocument/2006/relationships/hyperlink" Target="5139.101.dita#AFARS_5139.101" TargetMode="External" Id="R934bb7f0b9ee41c0" /><Relationship Type="http://schemas.openxmlformats.org/officeDocument/2006/relationships/hyperlink" Target="5139.10190.dita#AFARS_5139.10190" TargetMode="External" Id="Rc146babe46d1480c" /><Relationship Type="http://schemas.openxmlformats.org/officeDocument/2006/relationships/hyperlink" Target="Subpart_5139.74.dita#AFARS_Subpart_5139.74" TargetMode="External" Id="R0a3a1d6e5cd44795" /><Relationship Type="http://schemas.openxmlformats.org/officeDocument/2006/relationships/hyperlink" Target="5139.7402.dita#AFARS_5139.7402" TargetMode="External" Id="R83fac2ee24214ae9" /><Relationship Type="http://schemas.openxmlformats.org/officeDocument/2006/relationships/hyperlink" Target="Subpart_5139.76.dita#AFARS_Subpart_5139.76" TargetMode="External" Id="Rc46d05e78bb945af" /><Relationship Type="http://schemas.openxmlformats.org/officeDocument/2006/relationships/hyperlink" Target="5139.7602.dita#AFARS_5139.7602" TargetMode="External" Id="R83c76018f71744b6" /><Relationship Type="http://schemas.openxmlformats.org/officeDocument/2006/relationships/hyperlink" Target="https://cprobe.army.mil/enterprise-portal/web/itas/home" TargetMode="External" Id="Rc1930a4de87543b9" /><Relationship Type="http://schemas.openxmlformats.org/officeDocument/2006/relationships/hyperlink" Target="https://cprobe.army.mil/enterprise-portal/web/itas/home" TargetMode="External" Id="R1e7e772e96e64d16" /><Relationship Type="http://schemas.openxmlformats.org/officeDocument/2006/relationships/hyperlink" Target="https://cprobe.army.mil/enterprise-portal/web/itas/home" TargetMode="External" Id="R868623606d90450e" /><Relationship Type="http://schemas.openxmlformats.org/officeDocument/2006/relationships/hyperlink" Target="https://chess.army.mil/UserTrainingRequest" TargetMode="External" Id="R1b6e750737c8477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