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46" w:id="0"/>
      <w:r>
        <w:rPr>
          <w:rFonts w:ascii="Times New Roman" w:hAnsi="Times New Roman"/>
          <w:color w:val="000000"/>
          <w:sz w:val="48"/>
        </w:rPr>
        <w:t>AFARS – PART 5146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  <w:bookmarkEnd w:id="0"/>
    </w:p>
    <w:p>
      <w:pPr>
        <w:spacing w:after="0"/>
        <w:jc w:val="left"/>
        <w:ind w:left="720" w:hanging="360"/>
      </w:pPr>
      <w:hyperlink w:anchor="AFARS_Subpart_514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5146.5 – Acceptance</w:t>
        </w:r>
      </w:hyperlink>
    </w:p>
    <w:p>
      <w:pPr>
        <w:spacing w:after="0"/>
        <w:jc w:val="left"/>
        <w:ind w:left="1440" w:hanging="360"/>
      </w:pPr>
      <w:hyperlink w:anchor="AFARS_5146.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5146.501 General.</w:t>
        </w:r>
      </w:hyperlink>
    </w:p>
    <w:p>
      <w:pPr>
        <w:spacing w:after="0"/>
        <w:jc w:val="left"/>
        <w:ind w:left="1440" w:hanging="360"/>
      </w:pPr>
      <w:hyperlink w:anchor="AFARS_5146.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5146.503 Place of acceptance.</w:t>
        </w:r>
      </w:hyperlink>
    </w:p>
    <w:p>
      <w:pPr>
        <w:spacing w:after="0"/>
        <w:jc w:val="left"/>
        <w:ind w:left="720" w:hanging="360"/>
      </w:pPr>
      <w:hyperlink w:anchor="AFARS_Subpart_5146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5146.7 – Warranties</w:t>
        </w:r>
      </w:hyperlink>
    </w:p>
    <w:p>
      <w:pPr>
        <w:spacing w:after="0"/>
        <w:jc w:val="left"/>
        <w:ind w:left="1440" w:hanging="360"/>
      </w:pPr>
      <w:hyperlink w:anchor="AFARS_5146.7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5146.702 General.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6.5" w:id="1"/>
      <w:r>
        <w:rPr>
          <w:rFonts w:ascii="Times New Roman" w:hAnsi="Times New Roman"/>
          <w:color w:val="000000"/>
          <w:sz w:val="36"/>
        </w:rPr>
        <w:t>Subpart 5146.5</w:t>
      </w:r>
      <w:r>
        <w:rPr>
          <w:rFonts w:ascii="Times New Roman" w:hAnsi="Times New Roman"/>
          <w:color w:val="000000"/>
          <w:sz w:val="36"/>
        </w:rPr>
        <w:t xml:space="preserve"> – Acceptance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501" w:id="2"/>
      <w:r>
        <w:rPr>
          <w:rFonts w:ascii="Times New Roman" w:hAnsi="Times New Roman"/>
          <w:color w:val="000000"/>
          <w:sz w:val="31"/>
        </w:rPr>
        <w:t>5146.501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Include acceptance documentation as a permanent part of the contract file prior to contract closure.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503" w:id="3"/>
      <w:r>
        <w:rPr>
          <w:rFonts w:ascii="Times New Roman" w:hAnsi="Times New Roman"/>
          <w:color w:val="000000"/>
          <w:sz w:val="31"/>
        </w:rPr>
        <w:t>5146.503</w:t>
      </w:r>
      <w:r>
        <w:rPr>
          <w:rFonts w:ascii="Times New Roman" w:hAnsi="Times New Roman"/>
          <w:color w:val="000000"/>
          <w:sz w:val="31"/>
        </w:rPr>
        <w:t xml:space="preserve"> Place of acceptance.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contemplating destination acceptance in solicitations and contracts, contracting officers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Verify the Department of Defense Activity Address Code (DoDAAC) of each receiving activity in the solicitation or contract (DoDAAC verification information is available via the Internet at </w:t>
      </w:r>
      <w:hyperlink r:id="R31257dcedae149c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https://www.transactionservices.dla.mil/daasinq/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Prior to assigning acceptance responsibility, ensure that there is a registered acceptor available in Wide Area Workflow (WAWF) for each destination acceptance point (WAWF acceptor information is available at </w:t>
      </w:r>
      <w:hyperlink r:id="Rf917cef093bf4b6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under “Active DoDAACs and Roles”);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When no WAWF acceptor is available at destination, use source acceptance or “acceptance at other” in WAWF;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Not designate destination acceptance at a contractor location, but shall instead clearly designate a Government acceptance point within Section E of the contract schedule;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Clearly define the acceptance procedures in Section 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6.7" w:id="4"/>
      <w:r>
        <w:rPr>
          <w:rFonts w:ascii="Times New Roman" w:hAnsi="Times New Roman"/>
          <w:color w:val="000000"/>
          <w:sz w:val="36"/>
        </w:rPr>
        <w:t>Subpart 5146.7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702" w:id="5"/>
      <w:r>
        <w:rPr>
          <w:rFonts w:ascii="Times New Roman" w:hAnsi="Times New Roman"/>
          <w:color w:val="000000"/>
          <w:sz w:val="31"/>
        </w:rPr>
        <w:t>5146.702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Army Regulation 700-139 for procedures on tracking and accumulating data on warranty costs.</w:t>
      </w:r>
    </w:p>
    <w:sectPr>
      <w:pgSz w:w="12240" w:h="15840" w:code="1"/>
      <w:pgMar w:top="1440" w:right="1440" w:bottom="1440" w:left="1440"/>
      <w:pgNumType w:start="1"/>
      <w:footerReference w:type="default" r:id="Re1df7cdbb0874d2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1df7cdbb0874d25" /><Relationship Type="http://schemas.openxmlformats.org/officeDocument/2006/relationships/hyperlink" Target="Subpart_5146.5.dita#AFARS_Subpart_5146.5" TargetMode="External" Id="Rc355b9115cc840b8" /><Relationship Type="http://schemas.openxmlformats.org/officeDocument/2006/relationships/hyperlink" Target="5146.501.dita#AFARS_5146.501" TargetMode="External" Id="Rcca314e5dcd74ded" /><Relationship Type="http://schemas.openxmlformats.org/officeDocument/2006/relationships/hyperlink" Target="5146.503.dita#AFARS_5146.503" TargetMode="External" Id="R97dc7a3f129a4f97" /><Relationship Type="http://schemas.openxmlformats.org/officeDocument/2006/relationships/hyperlink" Target="Subpart_5146.7.dita#AFARS_Subpart_5146.7" TargetMode="External" Id="R0591fd60d3f44730" /><Relationship Type="http://schemas.openxmlformats.org/officeDocument/2006/relationships/hyperlink" Target="5146.702.dita#AFARS_5146.702" TargetMode="External" Id="R52ce082821384d90" /><Relationship Type="http://schemas.openxmlformats.org/officeDocument/2006/relationships/hyperlink" Target="https://www.transactionservices.dla.mil/daasinq/" TargetMode="External" Id="R31257dcedae149cf" /><Relationship Type="http://schemas.openxmlformats.org/officeDocument/2006/relationships/hyperlink" Target="https://wawf.eb.mil" TargetMode="External" Id="Rf917cef093bf4b6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