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46" w:id="0"/>
      <w:r>
        <w:rPr>
          <w:rFonts w:ascii="Times New Roman" w:hAnsi="Times New Roman"/>
          <w:color w:val="000000"/>
          <w:sz w:val="48"/>
        </w:rPr>
        <w:t>Part 5146</w:t>
      </w:r>
      <w:r>
        <w:rPr>
          <w:rFonts w:ascii="Times New Roman" w:hAnsi="Times New Roman"/>
          <w:color w:val="000000"/>
          <w:sz w:val="48"/>
        </w:rPr>
        <w:t xml:space="preserve"> - Quality Assurance</w:t>
      </w:r>
      <w:bookmarkEnd w:id="0"/>
    </w:p>
    <w:p>
      <w:pPr>
        <w:spacing w:after="0"/>
        <w:jc w:val="left"/>
        <w:ind w:left="720" w:hanging="360"/>
      </w:pPr>
      <w:hyperlink w:anchor="AFARS_Subpart_5146.5">
        <w:r>
          <w:rPr>
            <w:rStyle w:val="Hyperlink"/>
            <w:rFonts w:ascii="Times New Roman" w:hAnsi="Times New Roman"/>
            <w:b w:val="false"/>
            <w:i w:val="false"/>
            <w:color w:val="0000ff"/>
            <w:sz w:val="22"/>
            <w:u w:val="single"/>
          </w:rPr>
          <w:t>Subpart 5146.5 - Acceptance</w:t>
        </w:r>
      </w:hyperlink>
    </w:p>
    <w:p>
      <w:pPr>
        <w:spacing w:after="0"/>
        <w:jc w:val="left"/>
        <w:ind w:left="1440" w:hanging="360"/>
      </w:pPr>
      <w:hyperlink w:anchor="AFARS_5146.501">
        <w:r>
          <w:rPr>
            <w:rStyle w:val="Hyperlink"/>
            <w:rFonts w:ascii="Times New Roman" w:hAnsi="Times New Roman"/>
            <w:b w:val="false"/>
            <w:i w:val="false"/>
            <w:color w:val="0000ff"/>
            <w:sz w:val="22"/>
            <w:u w:val="single"/>
          </w:rPr>
          <w:t>5146.501 General.</w:t>
        </w:r>
      </w:hyperlink>
    </w:p>
    <w:p>
      <w:pPr>
        <w:spacing w:after="0"/>
        <w:jc w:val="left"/>
        <w:ind w:left="1440" w:hanging="360"/>
      </w:pPr>
      <w:hyperlink w:anchor="AFARS_5146.503">
        <w:r>
          <w:rPr>
            <w:rStyle w:val="Hyperlink"/>
            <w:rFonts w:ascii="Times New Roman" w:hAnsi="Times New Roman"/>
            <w:b w:val="false"/>
            <w:i w:val="false"/>
            <w:color w:val="0000ff"/>
            <w:sz w:val="22"/>
            <w:u w:val="single"/>
          </w:rPr>
          <w:t>5146.503 Place of acceptance.</w:t>
        </w:r>
      </w:hyperlink>
    </w:p>
    <w:p>
      <w:pPr>
        <w:spacing w:after="0"/>
        <w:jc w:val="left"/>
        <w:ind w:left="720" w:hanging="360"/>
      </w:pPr>
      <w:hyperlink w:anchor="AFARS_Subpart_5146.7">
        <w:r>
          <w:rPr>
            <w:rStyle w:val="Hyperlink"/>
            <w:rFonts w:ascii="Times New Roman" w:hAnsi="Times New Roman"/>
            <w:b w:val="false"/>
            <w:i w:val="false"/>
            <w:color w:val="0000ff"/>
            <w:sz w:val="22"/>
            <w:u w:val="single"/>
          </w:rPr>
          <w:t>Subpart 5146.7 - Warranties</w:t>
        </w:r>
      </w:hyperlink>
    </w:p>
    <w:p>
      <w:pPr>
        <w:spacing w:after="0"/>
        <w:jc w:val="left"/>
        <w:ind w:left="1440" w:hanging="360"/>
      </w:pPr>
      <w:hyperlink w:anchor="AFARS_5146.702">
        <w:r>
          <w:rPr>
            <w:rStyle w:val="Hyperlink"/>
            <w:rFonts w:ascii="Times New Roman" w:hAnsi="Times New Roman"/>
            <w:b w:val="false"/>
            <w:i w:val="false"/>
            <w:color w:val="0000ff"/>
            <w:sz w:val="22"/>
            <w:u w:val="single"/>
          </w:rPr>
          <w:t>5146.702 General.</w:t>
        </w:r>
      </w:hyperlink>
    </w:p>
    <!-- Created by docx4j 6.1.2 (Apache licensed) using REFERENCE JAXB in Oracle Java 15 on Linux -->
    <w:p>
      <w:pPr>
        <w:pStyle w:val="Heading2"/>
        <w:spacing w:after="180"/>
        <w:ind w:left="120"/>
        <w:jc w:val="center"/>
      </w:pPr>
      <w:bookmarkStart w:name="AFARS_Subpart_5146.5" w:id="1"/>
      <w:r>
        <w:rPr>
          <w:rFonts w:ascii="Times New Roman" w:hAnsi="Times New Roman"/>
          <w:color w:val="000000"/>
          <w:sz w:val="36"/>
        </w:rPr>
        <w:t>Subpart 5146.5</w:t>
      </w:r>
      <w:r>
        <w:rPr>
          <w:rFonts w:ascii="Times New Roman" w:hAnsi="Times New Roman"/>
          <w:color w:val="000000"/>
          <w:sz w:val="36"/>
        </w:rPr>
        <w:t xml:space="preserve"> - Acceptance</w:t>
      </w:r>
      <w:bookmarkEnd w:id="1"/>
    </w:p>
    <!-- Created by docx4j 6.1.2 (Apache licensed) using REFERENCE JAXB in Oracle Java 15 on Linux -->
    <w:p>
      <w:pPr>
        <w:pStyle w:val="Heading3"/>
        <w:spacing w:after="199"/>
        <w:ind w:left="120"/>
        <w:jc w:val="left"/>
      </w:pPr>
      <w:bookmarkStart w:name="AFARS_5146.501" w:id="2"/>
      <w:r>
        <w:rPr>
          <w:rFonts w:ascii="Times New Roman" w:hAnsi="Times New Roman"/>
          <w:color w:val="000000"/>
          <w:sz w:val="31"/>
        </w:rPr>
        <w:t>5146.501</w:t>
      </w:r>
      <w:r>
        <w:rPr>
          <w:rFonts w:ascii="Times New Roman" w:hAnsi="Times New Roman"/>
          <w:color w:val="000000"/>
          <w:sz w:val="31"/>
        </w:rPr>
        <w:t xml:space="preserve"> General.</w:t>
      </w:r>
      <w:bookmarkEnd w:id="2"/>
    </w:p>
    <w:p>
      <w:pPr>
        <w:pStyle w:val="Normal"/>
        <w:pBdr>
          <w:top w:space="5"/>
          <w:left w:space="5"/>
          <w:bottom w:space="5"/>
          <w:right w:space="5"/>
        </w:pBdr>
        <w:spacing w:after="0"/>
        <w:ind w:left="225"/>
        <w:jc w:val="left"/>
      </w:pPr>
      <w:r>
        <w:rPr>
          <w:rFonts w:ascii="Times New Roman" w:hAnsi="Times New Roman"/>
          <w:color w:val="000000"/>
        </w:rPr>
        <w:t>Include acceptance documentation as a permanent part of the contract file prior to contract closure.</w:t>
      </w:r>
    </w:p>
    <!-- Created by docx4j 6.1.2 (Apache licensed) using REFERENCE JAXB in Oracle Java 15 on Linux -->
    <w:p>
      <w:pPr>
        <w:pStyle w:val="Heading3"/>
        <w:spacing w:after="199"/>
        <w:ind w:left="120"/>
        <w:jc w:val="left"/>
      </w:pPr>
      <w:bookmarkStart w:name="AFARS_5146.503" w:id="3"/>
      <w:r>
        <w:rPr>
          <w:rFonts w:ascii="Times New Roman" w:hAnsi="Times New Roman"/>
          <w:color w:val="000000"/>
          <w:sz w:val="31"/>
        </w:rPr>
        <w:t>5146.503</w:t>
      </w:r>
      <w:r>
        <w:rPr>
          <w:rFonts w:ascii="Times New Roman" w:hAnsi="Times New Roman"/>
          <w:color w:val="000000"/>
          <w:sz w:val="31"/>
        </w:rPr>
        <w:t xml:space="preserve"> Place of acceptance.</w:t>
      </w:r>
      <w:bookmarkEnd w:id="3"/>
    </w:p>
    <w:p>
      <w:pPr>
        <w:pStyle w:val="Normal"/>
        <w:pBdr>
          <w:top w:space="5"/>
          <w:left w:space="5"/>
          <w:bottom w:space="5"/>
          <w:right w:space="5"/>
        </w:pBdr>
        <w:spacing w:after="0"/>
        <w:ind w:left="225"/>
        <w:jc w:val="left"/>
      </w:pPr>
      <w:r>
        <w:rPr>
          <w:rFonts w:ascii="Times New Roman" w:hAnsi="Times New Roman"/>
          <w:color w:val="000000"/>
        </w:rPr>
        <w:t>When contemplating destination acceptance in solicitations and contracts, contracting officers shall—</w:t>
      </w:r>
    </w:p>
    <w:p>
      <w:pPr>
        <w:pBdr>
          <w:top w:space="5"/>
          <w:left w:space="5"/>
          <w:bottom w:space="5"/>
          <w:right w:space="5"/>
        </w:pBdr>
        <w:spacing w:after="0"/>
        <w:ind w:left="585"/>
        <w:jc w:val="left"/>
      </w:pPr>
      <w:r>
        <w:rPr>
          <w:rFonts w:ascii="Times New Roman" w:hAnsi="Times New Roman"/>
          <w:b w:val="false"/>
          <w:i w:val="false"/>
          <w:color w:val="000000"/>
          <w:sz w:val="22"/>
        </w:rPr>
        <w:t xml:space="preserve">(1) Verify the Department of Defense Activity Address Code (DoDAAC) of each receiving activity in the solicitation or contract (DoDAAC verification information is available via the Internet at </w:t>
      </w:r>
      <w:hyperlink r:id="Rc45a93016a77405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https://www.transactionservices.dla.mil/daasinq/</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(2) Prior to assigning acceptance responsibility, ensure that there is a registered acceptor available in Wide Area Workflow (WAWF) for each destination acceptance point (WAWF acceptor information is available at </w:t>
      </w:r>
      <w:hyperlink r:id="Ra1fc5a87c4bd4ce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https://wawf.eb.mil</w:t>
        </w:r>
      </w:hyperlink>
      <w:r>
        <w:rPr>
          <w:rFonts w:ascii="Times New Roman" w:hAnsi="Times New Roman"/>
          <w:b w:val="false"/>
          <w:i w:val="false"/>
          <w:color w:val="000000"/>
          <w:sz w:val="22"/>
        </w:rPr>
        <w:t xml:space="preserve"> under “Active DoDAACs and Roles”);</w:t>
      </w:r>
    </w:p>
    <w:p>
      <w:pPr>
        <w:pBdr>
          <w:top w:space="5"/>
          <w:left w:space="5"/>
          <w:bottom w:space="5"/>
          <w:right w:space="5"/>
        </w:pBdr>
        <w:spacing w:after="0"/>
        <w:ind w:left="585"/>
        <w:jc w:val="left"/>
      </w:pPr>
      <w:r>
        <w:rPr>
          <w:rFonts w:ascii="Times New Roman" w:hAnsi="Times New Roman"/>
          <w:b w:val="false"/>
          <w:i w:val="false"/>
          <w:color w:val="000000"/>
          <w:sz w:val="22"/>
        </w:rPr>
        <w:t>(3) When no WAWF acceptor is available at destination, use source acceptance or “acceptance at other” in WAWF;</w:t>
      </w:r>
    </w:p>
    <w:p>
      <w:pPr>
        <w:pBdr>
          <w:top w:space="5"/>
          <w:left w:space="5"/>
          <w:bottom w:space="5"/>
          <w:right w:space="5"/>
        </w:pBdr>
        <w:spacing w:after="0"/>
        <w:ind w:left="585"/>
        <w:jc w:val="left"/>
      </w:pPr>
      <w:r>
        <w:rPr>
          <w:rFonts w:ascii="Times New Roman" w:hAnsi="Times New Roman"/>
          <w:b w:val="false"/>
          <w:i w:val="false"/>
          <w:color w:val="000000"/>
          <w:sz w:val="22"/>
        </w:rPr>
        <w:t>(4) Not designate destination acceptance at a contractor location, but shall instead clearly designate a Government acceptance point within Section E of the contract schedule; and</w:t>
      </w:r>
    </w:p>
    <w:p>
      <w:pPr>
        <w:pBdr>
          <w:top w:space="5"/>
          <w:left w:space="5"/>
          <w:bottom w:space="5"/>
          <w:right w:space="5"/>
        </w:pBdr>
        <w:spacing w:after="0"/>
        <w:ind w:left="585"/>
        <w:jc w:val="left"/>
      </w:pPr>
      <w:r>
        <w:rPr>
          <w:rFonts w:ascii="Times New Roman" w:hAnsi="Times New Roman"/>
          <w:b w:val="false"/>
          <w:i w:val="false"/>
          <w:color w:val="000000"/>
          <w:sz w:val="22"/>
        </w:rPr>
        <w:t>(5) Clearly define the acceptance procedures in Section E.</w:t>
      </w:r>
    </w:p>
    <!-- Created by docx4j 6.1.2 (Apache licensed) using REFERENCE JAXB in Oracle Java 15 on Linux -->
    <w:p>
      <w:pPr>
        <w:pStyle w:val="Heading2"/>
        <w:spacing w:after="180"/>
        <w:ind w:left="120"/>
        <w:jc w:val="center"/>
      </w:pPr>
      <w:bookmarkStart w:name="AFARS_Subpart_5146.7" w:id="4"/>
      <w:r>
        <w:rPr>
          <w:rFonts w:ascii="Times New Roman" w:hAnsi="Times New Roman"/>
          <w:color w:val="000000"/>
          <w:sz w:val="36"/>
        </w:rPr>
        <w:t>Subpart 5146.7</w:t>
      </w:r>
      <w:r>
        <w:rPr>
          <w:rFonts w:ascii="Times New Roman" w:hAnsi="Times New Roman"/>
          <w:color w:val="000000"/>
          <w:sz w:val="36"/>
        </w:rPr>
        <w:t xml:space="preserve"> - Warranties</w:t>
      </w:r>
      <w:bookmarkEnd w:id="4"/>
    </w:p>
    <!-- Created by docx4j 6.1.2 (Apache licensed) using REFERENCE JAXB in Oracle Java 15 on Linux -->
    <w:p>
      <w:pPr>
        <w:pStyle w:val="Heading3"/>
        <w:spacing w:after="199"/>
        <w:ind w:left="120"/>
        <w:jc w:val="left"/>
      </w:pPr>
      <w:bookmarkStart w:name="AFARS_5146.702" w:id="5"/>
      <w:r>
        <w:rPr>
          <w:rFonts w:ascii="Times New Roman" w:hAnsi="Times New Roman"/>
          <w:color w:val="000000"/>
          <w:sz w:val="31"/>
        </w:rPr>
        <w:t>5146.702</w:t>
      </w:r>
      <w:r>
        <w:rPr>
          <w:rFonts w:ascii="Times New Roman" w:hAnsi="Times New Roman"/>
          <w:color w:val="000000"/>
          <w:sz w:val="31"/>
        </w:rPr>
        <w:t xml:space="preserve"> General.</w:t>
      </w:r>
      <w:bookmarkEnd w:id="5"/>
    </w:p>
    <w:p>
      <w:pPr>
        <w:pBdr>
          <w:top w:space="5"/>
          <w:left w:space="5"/>
          <w:bottom w:space="5"/>
          <w:right w:space="5"/>
        </w:pBdr>
        <w:spacing w:after="0"/>
        <w:ind w:left="225"/>
        <w:jc w:val="left"/>
      </w:pPr>
      <w:r>
        <w:rPr>
          <w:rFonts w:ascii="Times New Roman" w:hAnsi="Times New Roman"/>
          <w:b w:val="false"/>
          <w:i w:val="false"/>
          <w:color w:val="000000"/>
          <w:sz w:val="22"/>
        </w:rPr>
        <w:t>(c) See Army Regulation 700-139 for procedures on tracking and accumulating data on warranty costs.</w:t>
      </w:r>
    </w:p>
    <!-- Created by docx4j 6.1.2 (Apache licensed) using REFERENCE JAXB in Oracle Java 15 on Linux -->
    <w:p>
      <w:pPr>
        <w:pStyle w:val="Heading3"/>
        <w:spacing w:after="199"/>
        <w:ind w:left="120"/>
        <w:jc w:val="left"/>
      </w:pPr>
      <w:bookmarkStart w:name="AFARS_5119.803" w:id="6"/>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6"/>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w:sectPr>
      <w:pgSz w:w="12240" w:h="15840" w:code="1"/>
      <w:pgMar w:top="1440" w:right="1440" w:bottom="1440" w:left="1440"/>
      <w:pgNumType w:start="1"/>
      <w:footerReference w:type="default" r:id="Rc3663c2770e3431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3663c2770e34311" /><Relationship Type="http://schemas.openxmlformats.org/officeDocument/2006/relationships/hyperlink" Target="Subpart_5146.5.dita#AFARS_Subpart_5146.5" TargetMode="External" Id="R5f7e89daa0844dec" /><Relationship Type="http://schemas.openxmlformats.org/officeDocument/2006/relationships/hyperlink" Target="5146.501.dita#AFARS_5146.501" TargetMode="External" Id="Reb68da54d21c4d29" /><Relationship Type="http://schemas.openxmlformats.org/officeDocument/2006/relationships/hyperlink" Target="5146.503.dita#AFARS_5146.503" TargetMode="External" Id="R3889444772384b9e" /><Relationship Type="http://schemas.openxmlformats.org/officeDocument/2006/relationships/hyperlink" Target="Subpart_5146.7.dita#AFARS_Subpart_5146.7" TargetMode="External" Id="R69b3c304009840be" /><Relationship Type="http://schemas.openxmlformats.org/officeDocument/2006/relationships/hyperlink" Target="5146.702.dita#AFARS_5146.702" TargetMode="External" Id="R95dc5fcb2d304dcd" /><Relationship Type="http://schemas.openxmlformats.org/officeDocument/2006/relationships/hyperlink" Target="https://www.transactionservices.dla.mil/daasinq/" TargetMode="External" Id="Rc45a93016a774051" /><Relationship Type="http://schemas.openxmlformats.org/officeDocument/2006/relationships/hyperlink" Target="https://wawf.eb.mil" TargetMode="External" Id="Ra1fc5a87c4bd4ce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