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5306.304</w:t>
      </w:r>
      <w:r>
        <w:rPr>
          <w:rFonts w:ascii="Times New Roman" w:hAnsi="Times New Roman"/>
          <w:color w:val="000000"/>
          <w:sz w:val="31"/>
        </w:rPr>
        <w:t xml:space="preserve"> Approval of the Justification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Justification Value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 Authority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Delegability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$750K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Chief of the Contracting Office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Delegable to contracting officer, consistent with warrant level</w:t>
            </w:r>
          </w:p>
        </w:tc>
      </w:tr>
      <w:tr>
        <w:trPr>
          <w:trHeight w:val="100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&gt; $750K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$15M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Procuring Activity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Competition Advocate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 further delegable</w:t>
            </w:r>
          </w:p>
        </w:tc>
      </w:tr>
      <w:tr>
        <w:trPr>
          <w:trHeight w:val="214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&gt; $15M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$100M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PEO / Head of Procuring Activity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/ Designated Alternate if they meet the criteria in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6.304(a)(3)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. If they do not meet the criteria in 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6.304(a)(3)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= Senior Procurement Executive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Delegable to Flag/General Officer or civilian SES</w:t>
            </w:r>
          </w:p>
        </w:tc>
      </w:tr>
      <w:tr>
        <w:trPr>
          <w:trHeight w:val="52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 $100M**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Procurement Executive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 further delegable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 For the Air Force, in accordance with FAR 2.101, procuring activity is synonymous with contracting activity.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**J&amp;As for actions exceeding $100M must be coordinated with the DAS(C) or the ADAS(C) and approved by the SPE. The contracting officer must submit justifications requiring approval by the SPE simultaneously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coordination by the SCO. Allow 18 days for staffing and SPE approval after receipt by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J&amp;A packages submitted to SAF/AQ shall include an electronic Staff Summary Sheet (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eSSS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in the body of the email or as an attachment (Word document only). Include the approved acquisition strategy (or a draft acquisition strategy if the strategy document has not been approved) with the J&amp;A package, and list each attachment under “Tabs” on the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eSSS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using the exact electronic file name (e.g., ACE Acquisition Strategy) of the corresponding attachment. The SCO may authorize solicitation release after the justification is reviewed for adequacy and forwarded to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questions or concerns regarding processing a J&amp;A for SPE approval to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Changes recommended during the staffing process must be adjudicated by the contracting officer in coordination with SAF/AQC prior to submitting the J&amp;A to the SPE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Prior to contract award: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a J&amp;A has been approved, but prior to contract award, if the dollar value of the contract is expected to exceed the original J&amp;A approval authority, the contracting officer must submit an amended J&amp;A to the appropriate approving authority for approval. The amended J&amp;A shall identify the dollar increase from the initial, approved J&amp;A.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After contract award: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a proposed modification is for new work outside the scope of the original contract, the contracting officer must submit a new J&amp;A as a stand-alone document to the appropriate approving authority based on the dollar value of the contract action for the new work. New work should not commence until the new J&amp;A is approved unless authorized in accordance with FAR 6.302-2, Unusual and Compelling Urgency. 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regarding contract scope considerations.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A new J&amp;A is not required for: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modification to decrease the dollar value or scope of the effort;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 modification to increase the estimated dollar value of in-scope work.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5306.304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content/part-6-competition-requirements" Type="http://schemas.openxmlformats.org/officeDocument/2006/relationships/hyperlink" Id="rId4"/>
    <Relationship TargetMode="External" Target="https://acquisition.gov/content/part-6-competition-requirements" Type="http://schemas.openxmlformats.org/officeDocument/2006/relationships/hyperlink" Id="rId5"/>
    <Relationship TargetMode="External" Target="mailto:SAF.AQ.Workflow@us.af.mil" Type="http://schemas.openxmlformats.org/officeDocument/2006/relationships/hyperlink" Id="rId6"/>
    <Relationship TargetMode="External" Target="mailto:SAF.AQ.SAF-AQC.Workflow@us.af.mil" Type="http://schemas.openxmlformats.org/officeDocument/2006/relationships/hyperlink" Id="rId7"/>
    <Relationship TargetMode="External" Target="mailto:SAF.AQ.Workflow@us.af.mil" Type="http://schemas.openxmlformats.org/officeDocument/2006/relationships/hyperlink" Id="rId8"/>
    <Relationship TargetMode="External" Target="https://usaf.dps.mil/sites/AFCC/KnowledgeCenter/Documents/eSSS.docx" Type="http://schemas.openxmlformats.org/officeDocument/2006/relationships/hyperlink" Id="rId9"/>
    <Relationship TargetMode="External" Target="mailto:SAF.AQ.Workflow@us.af.mil" Type="http://schemas.openxmlformats.org/officeDocument/2006/relationships/hyperlink" Id="rId10"/>
    <Relationship TargetMode="External" Target="mailto:SAF.AQ.SAF-AQC.Workflow@us.af.mil" Type="http://schemas.openxmlformats.org/officeDocument/2006/relationships/hyperlink" Id="rId11"/>
    <Relationship TargetMode="External" Target="mailto:SAF.AQ.SAF-AQC.Workflow@us.af.mil" Type="http://schemas.openxmlformats.org/officeDocument/2006/relationships/hyperlink" Id="rId12"/>
    <Relationship TargetMode="External" Target="5343_102_90.dita#AFFARS_5343_102_90" Type="http://schemas.openxmlformats.org/officeDocument/2006/relationships/hyperlink" Id="rId13"/>
    <Relationship TargetMode="External" Target="AFMC_PGI_5306_304.dita#AFFARS_AFMC_PGI_5306_304" Type="http://schemas.openxmlformats.org/officeDocument/2006/relationships/hyperlink" Id="rId14"/>
    <Relationship TargetMode="External" Target="SMC_PGI_5306_304.dita#AFFARS_SMC_PGI_5306_304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