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**ID__AFFARS_5306_502__ID**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5306.502</w:t>
      </w:r>
      <w:r>
        <w:rPr>
          <w:rFonts w:ascii="Times New Roman" w:hAnsi="Times New Roman"/>
          <w:color w:val="000000"/>
          <w:sz w:val="31"/>
        </w:rPr>
        <w:t xml:space="preserve"> Duties and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MP5306.502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 </w:t>
      </w:r>
      <w:r>
        <w:rPr>
          <w:rFonts w:ascii="Times New Roman" w:hAnsi="Times New Roman"/>
          <w:b w:val="false"/>
          <w:i/>
          <w:color w:val="000000"/>
          <w:sz w:val="22"/>
        </w:rPr>
        <w:t>Air Force Competition and Commercial Advocacy Program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5306.502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5306.502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6_502.dita#AFFARS_MP5306_502" Type="http://schemas.openxmlformats.org/officeDocument/2006/relationships/hyperlink" Id="rId4"/>
    <Relationship TargetMode="External" Target="SMC_PGI_5306_502.dita#AFFARS_SMC_PGI_5306_502" Type="http://schemas.openxmlformats.org/officeDocument/2006/relationships/hyperlink" Id="rId5"/>
    <Relationship TargetMode="External" Target="USAFA_PGI_5306_502.dita#AFFARS_USAFA_PGI_5306_502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