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**ID__AFFARS_5307_topic_3__ID**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5307.104</w:t>
      </w:r>
      <w:r>
        <w:rPr>
          <w:rFonts w:ascii="Times New Roman" w:hAnsi="Times New Roman"/>
          <w:color w:val="000000"/>
          <w:sz w:val="31"/>
        </w:rPr>
        <w:t xml:space="preserve"> General Procedures</w:t>
      </w:r>
    </w:p>
    <w:p>
      <w:pPr>
        <w:pBdr>
          <w:top w:space="5"/>
          <w:left w:space="5"/>
          <w:bottom w:space="5"/>
          <w:right w:space="5"/>
        </w:pBdr>
        <w:spacing w:after="0"/>
        <w:ind w:left="225"/>
        <w:jc w:val="left"/>
      </w:pPr>
      <w:r>
        <w:rPr>
          <w:rFonts w:ascii="Times New Roman" w:hAnsi="Times New Roman"/>
          <w:b w:val="false"/>
          <w:i w:val="false"/>
          <w:color w:val="000000"/>
          <w:sz w:val="22"/>
        </w:rPr>
        <w:t>(a) In order to help develop a sound acquisition strategy, the acquisition team must provide appropriate opportunities for the early involvement of industry in all acquisitions and the Defense Contract Management Agency and Defense Contract Audit Agency in non-competitive acquisitions.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4">
        <w:r>
          <w:rPr>
            <w:rStyle w:val="Hyperlink"/>
            <w:rFonts w:ascii="Times New Roman" w:hAnsi="Times New Roman"/>
            <w:b w:val="false"/>
            <w:i w:val="false"/>
            <w:color w:val="0000ff"/>
            <w:sz w:val="22"/>
            <w:u w:val="single"/>
          </w:rPr>
          <w:t>AFICC PGI 5307.104</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5">
        <w:r>
          <w:rPr>
            <w:rStyle w:val="Hyperlink"/>
            <w:rFonts w:ascii="Times New Roman" w:hAnsi="Times New Roman"/>
            <w:b w:val="false"/>
            <w:i w:val="false"/>
            <w:color w:val="0000ff"/>
            <w:sz w:val="22"/>
            <w:u w:val="single"/>
          </w:rPr>
          <w:t>AFMC PGI 5307.104</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6">
        <w:r>
          <w:rPr>
            <w:rStyle w:val="Hyperlink"/>
            <w:rFonts w:ascii="Times New Roman" w:hAnsi="Times New Roman"/>
            <w:b w:val="false"/>
            <w:i w:val="false"/>
            <w:color w:val="0000ff"/>
            <w:sz w:val="22"/>
            <w:u w:val="single"/>
          </w:rPr>
          <w:t>SMC PGI 5307.104</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See USAFA PGI 5307.104.</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AFICC_PGI_5307_104.dita#AFFARS_pgi_5307_topic_6" Type="http://schemas.openxmlformats.org/officeDocument/2006/relationships/hyperlink" Id="rId4"/>
    <Relationship TargetMode="External" Target="AFMC_PGI_5307_104.dita#AFFARS_pgi_5307_topic_9" Type="http://schemas.openxmlformats.org/officeDocument/2006/relationships/hyperlink" Id="rId5"/>
    <Relationship TargetMode="External" Target="SMC_PGI_5307_104.dita#AFFARS_pgi_5307_topic_14"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