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**ID__AFFARS_5309_406_3__ID**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5309.406-3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Investigation and referral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The contracting officer or the referring person must promptly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SAF/GCR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their SCO, and their designated legal counsel with all known information relating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non-responsibility determination.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2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indictment, conviction, or civil judgment (including those listed on required certifications, or those disclosed in accordance with FAR 3.1003 or FAR 52.203-13 relating to an offeror’s or contractor’s lack of integrity or business honesty, regardless of whether the indictment, conviction, or civil judgment related to a government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3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recommended or final termination for default or for cause.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4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recommendation for debarment or suspension.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5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Any debarred or suspended contractor who bids on a Government contract (including those who indicate debarment or suspension on required certifications).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contracting officer must provide additional information as requested by SAF/GCR.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Decision-making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If SAF/GCR determines that a hearing is required, the contracting activity must provide witnesses and other support as requested.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GCR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