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**ID__AFFARS_5301_304__ID**</w:t>
      </w:r>
    </w:p>
    <w:p>
      <w:pPr>
        <w:pStyle w:val="Heading3"/>
        <w:spacing w:after="199"/>
        <w:ind w:left="120"/>
        <w:jc w:val="left"/>
      </w:pPr>
      <w:r>
        <w:rPr>
          <w:rFonts w:ascii="Times New Roman" w:hAnsi="Times New Roman"/>
          <w:color w:val="000000"/>
          <w:sz w:val="31"/>
        </w:rPr>
        <w:t>5301.304</w:t>
      </w:r>
      <w:r>
        <w:rPr>
          <w:rFonts w:ascii="Times New Roman" w:hAnsi="Times New Roman"/>
          <w:color w:val="000000"/>
          <w:sz w:val="31"/>
        </w:rPr>
        <w:t xml:space="preserve"> Agency Control and Compliance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SCOs submit PGI revisions, deletions, and additions via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Proposed PGI Changes</w:t>
        </w:r>
      </w:hyperlink>
      <w:r>
        <w:rPr>
          <w:rFonts w:ascii="Times New Roman" w:hAnsi="Times New Roman"/>
          <w:b w:val="false"/>
          <w:i w:val="false"/>
          <w:color w:val="000000"/>
          <w:sz w:val="22"/>
        </w:rPr>
        <w:t xml:space="preserve"> page.</w:t>
      </w:r>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SMC PGI 5301.304</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afcc/aqcinternal/aqcp/Taskers/pgi_changes/proposed_pgi_changes/Forms/Open_Items.aspx" Type="http://schemas.openxmlformats.org/officeDocument/2006/relationships/hyperlink" Id="rId4"/>
    <Relationship TargetMode="External" Target="https://usaf.dps.mil/sites/AFCC/KnowledgeCenter/Documents/AFFARS_Library/5301/2010-02-02_dpap_memo.pdf" Type="http://schemas.openxmlformats.org/officeDocument/2006/relationships/hyperlink" Id="rId5"/>
    <Relationship TargetMode="External" Target="https://usaf.dps.mil/sites/AFCC/afcc/knowledge_center/templates/AF_nonstandard_clause_control.docx" Type="http://schemas.openxmlformats.org/officeDocument/2006/relationships/hyperlink" Id="rId6"/>
    <Relationship TargetMode="External" Target="mailto:SAF/AQ%20SAF-AQCP%20Workflow%20%3cSAF.AQ.SAF-AQCP.Workflow@us.af.mil%3e" Type="http://schemas.openxmlformats.org/officeDocument/2006/relationships/hyperlink" Id="rId7"/>
    <Relationship TargetMode="External" Target="SMC_PGI_5301_304.dita#AFFARS_SMC_PGI_5301_304"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