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5301.404</w:t>
      </w:r>
      <w:r>
        <w:rPr>
          <w:rFonts w:ascii="Times New Roman" w:hAnsi="Times New Roman"/>
          <w:color w:val="000000"/>
          <w:sz w:val="31"/>
        </w:rPr>
        <w:t xml:space="preserve"> Class Deviations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(b)(i) USD(A&amp;S)/DPC is the approval authority for any class deviation described in DFARS 201.402(1), class deviations from DFARS 215.3, and class deviations that meet the criteria in DFARS 201.404(b)(II)(A-D).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processing to USD(A&amp;S)/DPC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DAS(C)/ADAS(C) is the approval authority for class deviations from FAR 15.3, AFFARS 5315.3, and MP5315.3. Contracting officers may use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Deviation Request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Requests must be submitted through the SCO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SCOs are authorized to approve class deviations except as restricted by paragraphs (i) and (ii) above. Class deviation approval authority is not delegable.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5301.404-92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https://usaf.dps.mil/sites/AFCC/KnowledgeCenter/contracting_templates/deviation_request.pdf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AFICC_PGI_5301_404_92.dita#AFFARS_AFICC_PGI_5301_404_9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