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**ID__AFFARS_5315_406_1__ID**</w:t>
      </w:r>
    </w:p>
    <w:p>
      <w:pPr>
        <w:pStyle w:val="Heading3"/>
        <w:spacing w:after="199"/>
        <w:ind w:left="120"/>
        <w:jc w:val="left"/>
      </w:pPr>
      <w:r>
        <w:rPr>
          <w:rFonts w:ascii="Times New Roman" w:hAnsi="Times New Roman"/>
          <w:color w:val="000000"/>
          <w:sz w:val="31"/>
        </w:rPr>
        <w:t>5315.406-1</w:t>
      </w:r>
      <w:r>
        <w:rPr>
          <w:rFonts w:ascii="Times New Roman" w:hAnsi="Times New Roman"/>
          <w:color w:val="000000"/>
          <w:sz w:val="31"/>
        </w:rPr>
        <w:t xml:space="preserve"> Prenegotiation Objectives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(b)(ii) </w:t>
      </w:r>
      <w:r>
        <w:rPr>
          <w:rFonts w:ascii="Times New Roman" w:hAnsi="Times New Roman"/>
          <w:b w:val="false"/>
          <w:i/>
          <w:color w:val="000000"/>
          <w:sz w:val="22"/>
        </w:rPr>
        <w:t>Adjudication Procedures</w:t>
      </w:r>
      <w:r>
        <w:rPr>
          <w:rFonts w:ascii="Times New Roman" w:hAnsi="Times New Roman"/>
          <w:b w:val="false"/>
          <w:i/>
          <w:color w:val="000000"/>
          <w:sz w:val="22"/>
        </w:rPr>
        <w:t>.</w:t>
      </w:r>
      <w:r>
        <w:rPr>
          <w:rFonts w:ascii="Times New Roman" w:hAnsi="Times New Roman"/>
          <w:b w:val="false"/>
          <w:i w:val="false"/>
          <w:color w:val="000000"/>
          <w:sz w:val="22"/>
        </w:rPr>
        <w:t xml:space="preserve">The contracting officer must forward DCAA requests for Air Force management review through their management chain, and provide the SCO name and contact information to the cognizant DCAA representative. If disagreements remain, the SCO must elevate the issue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support any request from DCAA for further elevation of the issue(s).</w:t>
      </w:r>
    </w:p>
    <w:p>
      <w:pPr>
        <w:pBdr>
          <w:top w:space="5"/>
          <w:left w:space="5"/>
          <w:bottom w:space="5"/>
          <w:right w:space="5"/>
        </w:pBdr>
        <w:spacing w:after="0"/>
        <w:ind w:left="225"/>
        <w:jc w:val="left"/>
      </w:pPr>
      <w:r>
        <w:rPr>
          <w:rFonts w:ascii="Times New Roman" w:hAnsi="Times New Roman"/>
          <w:b w:val="false"/>
          <w:i w:val="false"/>
          <w:color w:val="000000"/>
          <w:sz w:val="22"/>
        </w:rPr>
        <w:t xml:space="preserve">(b)(90) A Preliminary Price Negotiation Memorandum (PPNM) is required for all actions of $10M or more.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PPNM template</w:t>
        </w:r>
      </w:hyperlink>
      <w:r>
        <w:rPr>
          <w:rFonts w:ascii="Times New Roman" w:hAnsi="Times New Roman"/>
          <w:b w:val="false"/>
          <w:i w:val="false"/>
          <w:color w:val="000000"/>
          <w:sz w:val="22"/>
        </w:rPr>
        <w:t xml:space="preserve"> may be tailored for use.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6">
        <w:r>
          <w:rPr>
            <w:rStyle w:val="Hyperlink"/>
            <w:rFonts w:ascii="Times New Roman" w:hAnsi="Times New Roman"/>
            <w:b w:val="false"/>
            <w:i w:val="false"/>
            <w:color w:val="0000ff"/>
            <w:sz w:val="22"/>
            <w:u w:val="single"/>
          </w:rPr>
          <w:t>AFMC PGI 5315.406-1</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AQ.SAF-AQC.Workflow@us.af.mil" Type="http://schemas.openxmlformats.org/officeDocument/2006/relationships/hyperlink" Id="rId4"/>
    <Relationship TargetMode="External" Target="https://usaf.dps.mil/sites/AFCC/KnowledgeCenter/contracting_templates/preliminary_PNM.docx" Type="http://schemas.openxmlformats.org/officeDocument/2006/relationships/hyperlink" Id="rId5"/>
    <Relationship TargetMode="External" Target="AFMC_PGI_5315_406_1.dita#AFFARS_AFMC_PGI_5315_406_1"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