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5316.504</w:t>
      </w:r>
      <w:r>
        <w:rPr>
          <w:rFonts w:ascii="Times New Roman" w:hAnsi="Times New Roman"/>
          <w:color w:val="000000"/>
          <w:sz w:val="31"/>
        </w:rPr>
        <w:t xml:space="preserve"> Indefinite-Quantity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Description.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Upon execution of the contract, an obligation shall be recorded based upon the issuance of a delivery or task order for the cost/price of the minimum quantity specified. The Government’s actual obligation must be recorded at the time of contract award.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7000.14-R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Volume 3, Chapter 8, paragraph 080604)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(c)(1)(ii)(D) </w:t>
      </w:r>
      <w:r>
        <w:rPr>
          <w:rFonts w:ascii="Times New Roman" w:hAnsi="Times New Roman"/>
          <w:b w:val="false"/>
          <w:i/>
          <w:color w:val="000000"/>
          <w:sz w:val="22"/>
        </w:rPr>
        <w:t>Limitation on single award contracts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SCO has the authority to make the written determination required by FAR 16.504(c)(1)(ii)(D)(1). Provide a copy of the written determination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(c)(2)(i)(A)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(c)(2)(i)(B)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(c)(2)(ii)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comptroller.defense.gov/Portals/45/documents/fmr/current/03/03_08.pdf" Type="http://schemas.openxmlformats.org/officeDocument/2006/relationships/hyperlink" Id="rId4"/>
    <Relationship TargetMode="External" Target="mailto:SAF.AQ.SAF-AQCP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