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**ID__AFFARS_5316_505__ID**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5316.505</w:t>
      </w:r>
      <w:r>
        <w:rPr>
          <w:rFonts w:ascii="Times New Roman" w:hAnsi="Times New Roman"/>
          <w:color w:val="000000"/>
          <w:sz w:val="31"/>
        </w:rPr>
        <w:t xml:space="preserve"> Ordering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Orders under multiple award contracts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</w:t>
      </w:r>
      <w:r>
        <w:rPr>
          <w:rFonts w:ascii="Times New Roman" w:hAnsi="Times New Roman"/>
          <w:b w:val="false"/>
          <w:i/>
          <w:color w:val="000000"/>
          <w:sz w:val="22"/>
        </w:rPr>
        <w:t>Fair opportunity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The contracting officer must use streamlined ordering procedures. SCOs must justify the use of FAR Subpart 15.3 Source Selection Procedures for any contract or task/delivery order, regardless of dollar value made in accordance with FAR 16.505. The SCO must submit justifications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before proceeding with the source selection and/or Clearance session.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</w:t>
      </w:r>
      <w:r>
        <w:rPr>
          <w:rFonts w:ascii="Times New Roman" w:hAnsi="Times New Roman"/>
          <w:b w:val="false"/>
          <w:i/>
          <w:color w:val="000000"/>
          <w:sz w:val="22"/>
        </w:rPr>
        <w:t>Exceptions to the fair opportunity process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5306.304(a)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the approving officials for a proposed task or delivery order using the fair opportunity exceptions at FAR 16.505(b)(2). See the tailorable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Justification for an Exception to Fair Opportunity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For exceptions to fair opportunity that are intended for purposes of awarding a “Bridge Action” see 5306.303-90.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5316.505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5316.505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(8) </w:t>
      </w:r>
      <w:r>
        <w:rPr>
          <w:rFonts w:ascii="Times New Roman" w:hAnsi="Times New Roman"/>
          <w:b w:val="false"/>
          <w:i/>
          <w:color w:val="000000"/>
          <w:sz w:val="22"/>
        </w:rPr>
        <w:t>Task-order and delivery-order ombudsman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See 5301.91.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5306_304.dita#AFFARS_5306_304" Type="http://schemas.openxmlformats.org/officeDocument/2006/relationships/hyperlink" Id="rId5"/>
    <Relationship TargetMode="External" Target="https://usaf.dps.mil/sites/AFCC/KnowledgeCenter/contracting_templates/fair_opportunity_exception_justification.pdf" Type="http://schemas.openxmlformats.org/officeDocument/2006/relationships/hyperlink" Id="rId6"/>
    <Relationship TargetMode="External" Target="AF_PGI_5316_505.dita#AFFARS_AF_PGI_5316_505" Type="http://schemas.openxmlformats.org/officeDocument/2006/relationships/hyperlink" Id="rId7"/>
    <Relationship TargetMode="External" Target="SMC_PGI_5316_505.dita#AFFARS_SMC_PGI_5316_505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