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5317.207</w:t>
      </w:r>
      <w:r>
        <w:rPr>
          <w:rFonts w:ascii="Times New Roman" w:hAnsi="Times New Roman"/>
          <w:color w:val="000000"/>
          <w:sz w:val="31"/>
        </w:rPr>
        <w:t xml:space="preserve"> Exercise of Options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 -- Exercising an Option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(8) For SMC, if the contract is a space program contract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), verify the contractor is not listed on the Contractor Responsibility Watch List (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CRWL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). If the contractor is listed on the CRWL, the contracting officer shall not exercise the option without obtaining approval (See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exercising_an_option.pdf" Type="http://schemas.openxmlformats.org/officeDocument/2006/relationships/hyperlink" Id="rId4"/>
    <Relationship TargetMode="External" Target="PART_5302.dita#AFFARS_5302_topic_1" Type="http://schemas.openxmlformats.org/officeDocument/2006/relationships/hyperlink" Id="rId5"/>
    <Relationship TargetMode="External" Target="https://insidesmc.losangeles.af.mil/sites/pk/div/pkc/internal/CRWL/default.aspx" Type="http://schemas.openxmlformats.org/officeDocument/2006/relationships/hyperlink" Id="rId6"/>
    <Relationship TargetMode="External" Target="MP5309_190.dita#AFFARS_mp_5309_190_topic_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