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**ID__AFFARS_5317_500__ID**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5317.500</w:t>
      </w:r>
      <w:r>
        <w:rPr>
          <w:rFonts w:ascii="Times New Roman" w:hAnsi="Times New Roman"/>
          <w:color w:val="000000"/>
          <w:sz w:val="31"/>
        </w:rPr>
        <w:t xml:space="preserve"> Scope of Subpart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65-118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interagency acquisitions, to include acquisitions authorized under The Economy 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5317.502-2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fm/publication/afi65-118/afi65-118.pdf" Type="http://schemas.openxmlformats.org/officeDocument/2006/relationships/hyperlink" Id="rId4"/>
    <Relationship TargetMode="External" Target="AFICC_PGI_5317.dita#AFFARS_AFICC_PGI_5317" Type="http://schemas.openxmlformats.org/officeDocument/2006/relationships/hyperlink" Id="rId5"/>
    <Relationship TargetMode="External" Target="SMC_PGI_5317_502_2.dita#AFFARS_SMC_PGI_5317_502_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