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**ID__AFFARS_5317_topic_25__ID**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5317.7405</w:t>
      </w:r>
      <w:r>
        <w:rPr>
          <w:rFonts w:ascii="Times New Roman" w:hAnsi="Times New Roman"/>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fcontracting.hq.af.mil/enterprise_metrics/index.cf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