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5325.603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(a)(1)(i) </w:t>
      </w:r>
      <w:r>
        <w:rPr>
          <w:rFonts w:ascii="Times New Roman" w:hAnsi="Times New Roman"/>
          <w:b w:val="false"/>
          <w:i/>
          <w:color w:val="000000"/>
          <w:sz w:val="22"/>
        </w:rPr>
        <w:t>Nonavailability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(a)(1)(iii) See MP5301.601-90. For ACAT I Programs,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determinations through the SCO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MP5301.601-90. For ACAT I Programs, submit determinations through the SCO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approval for non-ACAT I programs, submit determinations through the SCO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MP5301.601-90. Submit determinations through the SCO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AQ.SAF-AQC.Workflow@us.af.mil" Type="http://schemas.openxmlformats.org/officeDocument/2006/relationships/hyperlink" Id="rId8"/>
    <Relationship TargetMode="External" Target="mailto:SAF.AQ.SAF-AQC.Workflow@us.af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