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spacing w:after="0"/>
        <w:ind w:left="120"/>
        <w:jc w:val="left"/>
      </w:pPr>
      <w:r>
        <w:rPr>
          <w:rFonts w:ascii="Times New Roman" w:hAnsi="Times New Roman"/>
          <w:b w:val="false"/>
          <w:i w:val="false"/>
          <w:color w:val="000000"/>
          <w:sz w:val="22"/>
        </w:rPr>
        <w:t>**ID__AFFARS_5301_topic_30__ID**</w:t>
      </w:r>
      <w:r>
        <w:rPr>
          <w:rFonts w:ascii="Times New Roman" w:hAnsi="Times New Roman"/>
          <w:b w:val="false"/>
          <w:i w:val="false"/>
          <w:color w:val="000000"/>
          <w:sz w:val="22"/>
        </w:rPr>
        <w:t xml:space="preserve"> </w:t>
      </w:r>
    </w:p>
    <w:p>
      <w:pPr>
        <w:pStyle w:val="Heading3"/>
        <w:spacing w:after="199"/>
        <w:ind w:left="120"/>
        <w:jc w:val="left"/>
      </w:pPr>
      <w:r>
        <w:rPr>
          <w:rFonts w:ascii="Times New Roman" w:hAnsi="Times New Roman"/>
          <w:color w:val="000000"/>
          <w:sz w:val="31"/>
        </w:rPr>
        <w:t>5301.9000</w:t>
      </w:r>
      <w:r>
        <w:rPr>
          <w:rFonts w:ascii="Times New Roman" w:hAnsi="Times New Roman"/>
          <w:color w:val="000000"/>
          <w:sz w:val="31"/>
        </w:rPr>
        <w:t xml:space="preserve"> Scope and Definitions</w:t>
      </w:r>
    </w:p>
    <w:p>
      <w:pPr>
        <w:pBdr>
          <w:top w:space="5"/>
          <w:left w:space="5"/>
          <w:bottom w:space="5"/>
          <w:right w:space="5"/>
        </w:pBdr>
        <w:spacing w:after="0"/>
        <w:ind w:left="225"/>
        <w:jc w:val="left"/>
      </w:pPr>
      <w:r>
        <w:rPr>
          <w:rFonts w:ascii="Times New Roman" w:hAnsi="Times New Roman"/>
          <w:b w:val="false"/>
          <w:i w:val="false"/>
          <w:color w:val="000000"/>
          <w:sz w:val="22"/>
        </w:rPr>
        <w:t>(a) This subpart establishes clearance requirements for the contract actions identified below:</w:t>
      </w:r>
    </w:p>
    <w:p>
      <w:pPr>
        <w:pBdr>
          <w:top w:space="5"/>
          <w:left w:space="5"/>
          <w:bottom w:space="5"/>
          <w:right w:space="5"/>
        </w:pBdr>
        <w:spacing w:after="0"/>
        <w:ind w:left="585"/>
        <w:jc w:val="left"/>
      </w:pPr>
      <w:r>
        <w:rPr>
          <w:rFonts w:ascii="Times New Roman" w:hAnsi="Times New Roman"/>
          <w:b w:val="false"/>
          <w:i w:val="false"/>
          <w:color w:val="000000"/>
          <w:sz w:val="22"/>
        </w:rPr>
        <w:t>(1) An action intended to result in award of any contract or modification of any contract;</w:t>
      </w:r>
    </w:p>
    <w:p>
      <w:pPr>
        <w:pBdr>
          <w:top w:space="5"/>
          <w:left w:space="5"/>
          <w:bottom w:space="5"/>
          <w:right w:space="5"/>
        </w:pBdr>
        <w:spacing w:after="0"/>
        <w:ind w:left="585"/>
        <w:jc w:val="left"/>
      </w:pPr>
      <w:r>
        <w:rPr>
          <w:rFonts w:ascii="Times New Roman" w:hAnsi="Times New Roman"/>
          <w:b w:val="false"/>
          <w:i w:val="false"/>
          <w:color w:val="000000"/>
          <w:sz w:val="22"/>
        </w:rPr>
        <w:t>(2) An action intended to result in definitization of an undefinitized contract action (UCA), an undefinitized change order, or an undefinitized long lead contract;</w:t>
      </w:r>
    </w:p>
    <w:p>
      <w:pPr>
        <w:pBdr>
          <w:top w:space="5"/>
          <w:left w:space="5"/>
          <w:bottom w:space="5"/>
          <w:right w:space="5"/>
        </w:pBdr>
        <w:spacing w:after="0"/>
        <w:ind w:left="585"/>
        <w:jc w:val="left"/>
      </w:pPr>
      <w:r>
        <w:rPr>
          <w:rFonts w:ascii="Times New Roman" w:hAnsi="Times New Roman"/>
          <w:b w:val="false"/>
          <w:i w:val="false"/>
          <w:color w:val="000000"/>
          <w:sz w:val="22"/>
        </w:rPr>
        <w:t>(3) An action intended to result in the pricing of:</w:t>
      </w:r>
    </w:p>
    <w:p>
      <w:pPr>
        <w:pBdr>
          <w:top w:space="5"/>
          <w:left w:space="5"/>
          <w:bottom w:space="5"/>
          <w:right w:space="5"/>
        </w:pBdr>
        <w:spacing w:after="0"/>
        <w:ind w:left="945"/>
        <w:jc w:val="left"/>
      </w:pPr>
      <w:r>
        <w:rPr>
          <w:rFonts w:ascii="Times New Roman" w:hAnsi="Times New Roman"/>
          <w:b w:val="false"/>
          <w:i w:val="false"/>
          <w:color w:val="000000"/>
          <w:sz w:val="22"/>
        </w:rPr>
        <w:t>(i) an unpriced option or an option with a not-to-exceed price;</w:t>
      </w:r>
    </w:p>
    <w:p>
      <w:pPr>
        <w:pBdr>
          <w:top w:space="5"/>
          <w:left w:space="5"/>
          <w:bottom w:space="5"/>
          <w:right w:space="5"/>
        </w:pBdr>
        <w:spacing w:after="0"/>
        <w:ind w:left="945"/>
        <w:jc w:val="left"/>
      </w:pPr>
      <w:r>
        <w:rPr>
          <w:rFonts w:ascii="Times New Roman" w:hAnsi="Times New Roman"/>
          <w:b w:val="false"/>
          <w:i w:val="false"/>
          <w:color w:val="000000"/>
          <w:sz w:val="22"/>
        </w:rPr>
        <w:t>(ii) provisioned items orders (PIO);</w:t>
      </w:r>
    </w:p>
    <w:p>
      <w:pPr>
        <w:pBdr>
          <w:top w:space="5"/>
          <w:left w:space="5"/>
          <w:bottom w:space="5"/>
          <w:right w:space="5"/>
        </w:pBdr>
        <w:spacing w:after="0"/>
        <w:ind w:left="945"/>
        <w:jc w:val="left"/>
      </w:pPr>
      <w:r>
        <w:rPr>
          <w:rFonts w:ascii="Times New Roman" w:hAnsi="Times New Roman"/>
          <w:b w:val="false"/>
          <w:i w:val="false"/>
          <w:color w:val="000000"/>
          <w:sz w:val="22"/>
        </w:rPr>
        <w:t>(iii) unpriced orders under Blanket Purchase Agreements (BPAs), and FSS contracts, including GWACs; or</w:t>
      </w:r>
    </w:p>
    <w:p>
      <w:pPr>
        <w:pBdr>
          <w:top w:space="5"/>
          <w:left w:space="5"/>
          <w:bottom w:space="5"/>
          <w:right w:space="5"/>
        </w:pBdr>
        <w:spacing w:after="0"/>
        <w:ind w:left="945"/>
        <w:jc w:val="left"/>
      </w:pPr>
      <w:r>
        <w:rPr>
          <w:rFonts w:ascii="Times New Roman" w:hAnsi="Times New Roman"/>
          <w:b w:val="false"/>
          <w:i w:val="false"/>
          <w:color w:val="000000"/>
          <w:sz w:val="22"/>
        </w:rPr>
        <w:t>(iv) noncompetitive task or delivery orders under single or multiple award indefinite delivery-type contracts.</w:t>
      </w:r>
    </w:p>
    <w:p>
      <w:pPr>
        <w:pBdr>
          <w:top w:space="5"/>
          <w:left w:space="5"/>
          <w:bottom w:space="5"/>
          <w:right w:space="5"/>
        </w:pBdr>
        <w:spacing w:after="0"/>
        <w:ind w:left="585"/>
        <w:jc w:val="left"/>
      </w:pPr>
      <w:r>
        <w:rPr>
          <w:rFonts w:ascii="Times New Roman" w:hAnsi="Times New Roman"/>
          <w:b w:val="false"/>
          <w:i w:val="false"/>
          <w:color w:val="000000"/>
          <w:sz w:val="22"/>
        </w:rPr>
        <w:t>(4) An action intended to result in issuance of a modification implementing a unilateral price determination;</w:t>
      </w:r>
    </w:p>
    <w:p>
      <w:pPr>
        <w:pBdr>
          <w:top w:space="5"/>
          <w:left w:space="5"/>
          <w:bottom w:space="5"/>
          <w:right w:space="5"/>
        </w:pBdr>
        <w:spacing w:after="0"/>
        <w:ind w:left="585"/>
        <w:jc w:val="left"/>
      </w:pPr>
      <w:r>
        <w:rPr>
          <w:rFonts w:ascii="Times New Roman" w:hAnsi="Times New Roman"/>
          <w:b w:val="false"/>
          <w:i w:val="false"/>
          <w:color w:val="000000"/>
          <w:sz w:val="22"/>
        </w:rPr>
        <w:t>(5) Orders issued under BOAs;</w:t>
      </w:r>
    </w:p>
    <w:p>
      <w:pPr>
        <w:pBdr>
          <w:top w:space="5"/>
          <w:left w:space="5"/>
          <w:bottom w:space="5"/>
          <w:right w:space="5"/>
        </w:pBdr>
        <w:spacing w:after="0"/>
        <w:ind w:left="585"/>
        <w:jc w:val="left"/>
      </w:pPr>
      <w:r>
        <w:rPr>
          <w:rFonts w:ascii="Times New Roman" w:hAnsi="Times New Roman"/>
          <w:b w:val="false"/>
          <w:i w:val="false"/>
          <w:color w:val="000000"/>
          <w:sz w:val="22"/>
        </w:rPr>
        <w:t>(6) An action intended to result in the exercise of an option when the option exercise is not in accordance with the previously approved pricing arrangement or other contract terms and conditions; and</w:t>
      </w:r>
    </w:p>
    <w:p>
      <w:pPr>
        <w:pBdr>
          <w:top w:space="5"/>
          <w:left w:space="5"/>
          <w:bottom w:space="5"/>
          <w:right w:space="5"/>
        </w:pBdr>
        <w:spacing w:after="0"/>
        <w:ind w:left="585"/>
        <w:jc w:val="left"/>
      </w:pPr>
      <w:r>
        <w:rPr>
          <w:rFonts w:ascii="Times New Roman" w:hAnsi="Times New Roman"/>
          <w:b w:val="false"/>
          <w:i w:val="false"/>
          <w:color w:val="000000"/>
          <w:sz w:val="22"/>
        </w:rPr>
        <w:t>(7) Competitive order solicitations and orders issued in accordance with FAR 8.4, 13, or 16.5 and against existing MAC ID/IQ, GWAC, or FSS contracts that require either one or both of the following:</w:t>
      </w:r>
    </w:p>
    <w:p>
      <w:pPr>
        <w:pBdr>
          <w:top w:space="5"/>
          <w:left w:space="5"/>
          <w:bottom w:space="5"/>
          <w:right w:space="5"/>
        </w:pBdr>
        <w:spacing w:after="0"/>
        <w:ind w:left="585"/>
        <w:jc w:val="left"/>
      </w:pPr>
      <w:r>
        <w:rPr>
          <w:rFonts w:ascii="Times New Roman" w:hAnsi="Times New Roman"/>
          <w:b w:val="false"/>
          <w:i w:val="false"/>
          <w:color w:val="000000"/>
          <w:sz w:val="22"/>
        </w:rPr>
        <w:t>i.Establishment of specific criteria for the evaluation of proposals and selection of the awardee for the order;</w:t>
      </w:r>
    </w:p>
    <w:p>
      <w:pPr>
        <w:pBdr>
          <w:top w:space="5"/>
          <w:left w:space="5"/>
          <w:bottom w:space="5"/>
          <w:right w:space="5"/>
        </w:pBdr>
        <w:spacing w:after="0"/>
        <w:ind w:left="585"/>
        <w:jc w:val="left"/>
      </w:pPr>
      <w:r>
        <w:rPr>
          <w:rFonts w:ascii="Times New Roman" w:hAnsi="Times New Roman"/>
          <w:b w:val="false"/>
          <w:i w:val="false"/>
          <w:color w:val="000000"/>
          <w:sz w:val="22"/>
        </w:rPr>
        <w:t>ii.Addition of any terms or conditions that are not included in the basic ID/IQ contract, and/or changes to the existing terms or conditions of the basic ID/IQ contract.</w:t>
      </w:r>
    </w:p>
    <w:p>
      <w:pPr>
        <w:pBdr>
          <w:top w:space="5"/>
          <w:left w:space="5"/>
          <w:bottom w:space="5"/>
          <w:right w:space="5"/>
        </w:pBdr>
        <w:spacing w:after="0"/>
        <w:ind w:left="225"/>
        <w:jc w:val="left"/>
      </w:pPr>
      <w:r>
        <w:rPr>
          <w:rFonts w:ascii="Times New Roman" w:hAnsi="Times New Roman"/>
          <w:b w:val="false"/>
          <w:i w:val="false"/>
          <w:color w:val="000000"/>
          <w:sz w:val="22"/>
        </w:rPr>
        <w:t>(b) Excluded from business or contract clearances are:</w:t>
      </w:r>
    </w:p>
    <w:p>
      <w:pPr>
        <w:pBdr>
          <w:top w:space="5"/>
          <w:left w:space="5"/>
          <w:bottom w:space="5"/>
          <w:right w:space="5"/>
        </w:pBdr>
        <w:spacing w:after="0"/>
        <w:ind w:left="585"/>
        <w:jc w:val="left"/>
      </w:pPr>
      <w:r>
        <w:rPr>
          <w:rFonts w:ascii="Times New Roman" w:hAnsi="Times New Roman"/>
          <w:b w:val="false"/>
          <w:i w:val="false"/>
          <w:color w:val="000000"/>
          <w:sz w:val="22"/>
        </w:rPr>
        <w:t>(1) Actions that create a UCA, undefinitized change order, undefinitized long lead contract;</w:t>
      </w:r>
    </w:p>
    <w:p>
      <w:pPr>
        <w:pBdr>
          <w:top w:space="5"/>
          <w:left w:space="5"/>
          <w:bottom w:space="5"/>
          <w:right w:space="5"/>
        </w:pBdr>
        <w:spacing w:after="0"/>
        <w:ind w:left="585"/>
        <w:jc w:val="left"/>
      </w:pPr>
      <w:r>
        <w:rPr>
          <w:rFonts w:ascii="Times New Roman" w:hAnsi="Times New Roman"/>
          <w:b w:val="false"/>
          <w:i w:val="false"/>
          <w:color w:val="000000"/>
          <w:sz w:val="22"/>
        </w:rPr>
        <w:t>(2) Modifications for the payment of incentives or award fee that are in accordance with the terms and conditions of the incentive plan or award fee plan;</w:t>
      </w:r>
    </w:p>
    <w:p>
      <w:pPr>
        <w:pBdr>
          <w:top w:space="5"/>
          <w:left w:space="5"/>
          <w:bottom w:space="5"/>
          <w:right w:space="5"/>
        </w:pBdr>
        <w:spacing w:after="0"/>
        <w:ind w:left="585"/>
        <w:jc w:val="left"/>
      </w:pPr>
      <w:r>
        <w:rPr>
          <w:rFonts w:ascii="Times New Roman" w:hAnsi="Times New Roman"/>
          <w:b w:val="false"/>
          <w:i w:val="false"/>
          <w:color w:val="000000"/>
          <w:sz w:val="22"/>
        </w:rPr>
        <w:t>(3) Funding modifications;</w:t>
      </w:r>
    </w:p>
    <w:p>
      <w:pPr>
        <w:pBdr>
          <w:top w:space="5"/>
          <w:left w:space="5"/>
          <w:bottom w:space="5"/>
          <w:right w:space="5"/>
        </w:pBdr>
        <w:spacing w:after="0"/>
        <w:ind w:left="585"/>
        <w:jc w:val="left"/>
      </w:pPr>
      <w:r>
        <w:rPr>
          <w:rFonts w:ascii="Times New Roman" w:hAnsi="Times New Roman"/>
          <w:b w:val="false"/>
          <w:i w:val="false"/>
          <w:color w:val="000000"/>
          <w:sz w:val="22"/>
        </w:rPr>
        <w:t>(4) Administrative modifications;</w:t>
      </w:r>
    </w:p>
    <w:p>
      <w:pPr>
        <w:pBdr>
          <w:top w:space="5"/>
          <w:left w:space="5"/>
          <w:bottom w:space="5"/>
          <w:right w:space="5"/>
        </w:pBdr>
        <w:spacing w:after="0"/>
        <w:ind w:left="585"/>
        <w:jc w:val="left"/>
      </w:pPr>
      <w:r>
        <w:rPr>
          <w:rFonts w:ascii="Times New Roman" w:hAnsi="Times New Roman"/>
          <w:b w:val="false"/>
          <w:i w:val="false"/>
          <w:color w:val="000000"/>
          <w:sz w:val="22"/>
        </w:rPr>
        <w:t>(5) Modifications solely for changes as a result of Service Contract Labor Standards statute wage rates/fringe benefits or Fair Labor Standards Act minimum wages; and</w:t>
      </w:r>
    </w:p>
    <w:p>
      <w:pPr>
        <w:pBdr>
          <w:top w:space="5"/>
          <w:left w:space="5"/>
          <w:bottom w:space="5"/>
          <w:right w:space="5"/>
        </w:pBdr>
        <w:spacing w:after="0"/>
        <w:ind w:left="585"/>
        <w:jc w:val="left"/>
      </w:pPr>
      <w:r>
        <w:rPr>
          <w:rFonts w:ascii="Times New Roman" w:hAnsi="Times New Roman"/>
          <w:b w:val="false"/>
          <w:i w:val="false"/>
          <w:color w:val="000000"/>
          <w:sz w:val="22"/>
        </w:rPr>
        <w:t>(6) Competitive order solicitations and orders issued in accordance with FAR 8.4, 13, or 16.5 and against existing MAC ID/IQ, GWACs, and FSS contracts if they do not require either one or both of the following:</w:t>
      </w:r>
    </w:p>
    <w:p>
      <w:pPr>
        <w:pBdr>
          <w:top w:space="5"/>
          <w:left w:space="5"/>
          <w:bottom w:space="5"/>
          <w:right w:space="5"/>
        </w:pBdr>
        <w:spacing w:after="0"/>
        <w:ind w:left="945"/>
        <w:jc w:val="left"/>
      </w:pPr>
      <w:r>
        <w:rPr>
          <w:rFonts w:ascii="Times New Roman" w:hAnsi="Times New Roman"/>
          <w:b w:val="false"/>
          <w:i w:val="false"/>
          <w:color w:val="000000"/>
          <w:sz w:val="22"/>
        </w:rPr>
        <w:t>i. Establishment of specific criteria for the evaluation of proposals and selection of the awardee for the order;</w:t>
      </w:r>
    </w:p>
    <w:p>
      <w:pPr>
        <w:pBdr>
          <w:top w:space="5"/>
          <w:left w:space="5"/>
          <w:bottom w:space="5"/>
          <w:right w:space="5"/>
        </w:pBdr>
        <w:spacing w:after="0"/>
        <w:ind w:left="945"/>
        <w:jc w:val="left"/>
      </w:pPr>
      <w:r>
        <w:rPr>
          <w:rFonts w:ascii="Times New Roman" w:hAnsi="Times New Roman"/>
          <w:b w:val="false"/>
          <w:i w:val="false"/>
          <w:color w:val="000000"/>
          <w:sz w:val="22"/>
        </w:rPr>
        <w:t>ii. Addition of any terms or conditions that are not included in the basic ID/IQ contract, and/or changes to the existing terms or conditions of the basic ID/IQ contract.</w:t>
      </w:r>
    </w:p>
    <w:p>
      <w:pPr>
        <w:pBdr>
          <w:top w:space="5"/>
          <w:left w:space="5"/>
          <w:bottom w:space="5"/>
          <w:right w:space="5"/>
        </w:pBdr>
        <w:spacing w:after="0"/>
        <w:ind w:left="225"/>
        <w:jc w:val="left"/>
      </w:pPr>
      <w:r>
        <w:rPr>
          <w:rFonts w:ascii="Times New Roman" w:hAnsi="Times New Roman"/>
          <w:b w:val="false"/>
          <w:i w:val="false"/>
          <w:color w:val="000000"/>
          <w:sz w:val="22"/>
        </w:rPr>
        <w:t>(c) “Business Clearance” means:</w:t>
      </w:r>
    </w:p>
    <w:p>
      <w:pPr>
        <w:pBdr>
          <w:top w:space="5"/>
          <w:left w:space="5"/>
          <w:bottom w:space="5"/>
          <w:right w:space="5"/>
        </w:pBdr>
        <w:spacing w:after="0"/>
        <w:ind w:left="585"/>
        <w:jc w:val="left"/>
      </w:pPr>
      <w:r>
        <w:rPr>
          <w:rFonts w:ascii="Times New Roman" w:hAnsi="Times New Roman"/>
          <w:b w:val="false"/>
          <w:i w:val="false"/>
          <w:color w:val="000000"/>
          <w:sz w:val="22"/>
        </w:rPr>
        <w:t>(1) For competitive acquisitions, approval to issue the solicitation.</w:t>
      </w:r>
    </w:p>
    <w:p>
      <w:pPr>
        <w:pBdr>
          <w:top w:space="5"/>
          <w:left w:space="5"/>
          <w:bottom w:space="5"/>
          <w:right w:space="5"/>
        </w:pBdr>
        <w:spacing w:after="0"/>
        <w:ind w:left="585"/>
        <w:jc w:val="left"/>
      </w:pPr>
      <w:r>
        <w:rPr>
          <w:rFonts w:ascii="Times New Roman" w:hAnsi="Times New Roman"/>
          <w:b w:val="false"/>
          <w:i w:val="false"/>
          <w:color w:val="000000"/>
          <w:sz w:val="22"/>
        </w:rPr>
        <w:t>(2) For noncompetitive contract actions, approval to begin negotiations.</w:t>
      </w:r>
    </w:p>
    <w:p>
      <w:pPr>
        <w:pBdr>
          <w:top w:space="5"/>
          <w:left w:space="5"/>
          <w:bottom w:space="5"/>
          <w:right w:space="5"/>
        </w:pBdr>
        <w:spacing w:after="0"/>
        <w:ind w:left="225"/>
        <w:jc w:val="left"/>
      </w:pPr>
      <w:r>
        <w:rPr>
          <w:rFonts w:ascii="Times New Roman" w:hAnsi="Times New Roman"/>
          <w:b w:val="false"/>
          <w:i w:val="false"/>
          <w:color w:val="000000"/>
          <w:sz w:val="22"/>
        </w:rPr>
        <w:t>(d) “Begin negotiations” means, for the purpose of noncompetitive contract actions, starting discussions with an offeror for the purpose of reaching agreement on all aspects of the proposal. Initiation of audits and fact-finding necessary to evaluate the proposal and develop the Government’s negotiation objective do not constitute negotiations.</w:t>
      </w:r>
    </w:p>
    <w:p>
      <w:pPr>
        <w:pBdr>
          <w:top w:space="5"/>
          <w:left w:space="5"/>
          <w:bottom w:space="5"/>
          <w:right w:space="5"/>
        </w:pBdr>
        <w:spacing w:after="0"/>
        <w:ind w:left="225"/>
        <w:jc w:val="left"/>
      </w:pPr>
      <w:r>
        <w:rPr>
          <w:rFonts w:ascii="Times New Roman" w:hAnsi="Times New Roman"/>
          <w:b w:val="false"/>
          <w:i w:val="false"/>
          <w:color w:val="000000"/>
          <w:sz w:val="22"/>
        </w:rPr>
        <w:t>(e) “Contract Clearance” means:</w:t>
      </w:r>
    </w:p>
    <w:p>
      <w:pPr>
        <w:pBdr>
          <w:top w:space="5"/>
          <w:left w:space="5"/>
          <w:bottom w:space="5"/>
          <w:right w:space="5"/>
        </w:pBdr>
        <w:spacing w:after="0"/>
        <w:ind w:left="585"/>
        <w:jc w:val="left"/>
      </w:pPr>
      <w:r>
        <w:rPr>
          <w:rFonts w:ascii="Times New Roman" w:hAnsi="Times New Roman"/>
          <w:b w:val="false"/>
          <w:i w:val="false"/>
          <w:color w:val="000000"/>
          <w:sz w:val="22"/>
        </w:rPr>
        <w:t>(1) For competitive acquisitions conducted without discussions, approval by the clearance approval authority (CAA) for the Source Selection Authority (SSA) to make the decision to award.</w:t>
      </w:r>
    </w:p>
    <w:p>
      <w:pPr>
        <w:pBdr>
          <w:top w:space="5"/>
          <w:left w:space="5"/>
          <w:bottom w:space="5"/>
          <w:right w:space="5"/>
        </w:pBdr>
        <w:spacing w:after="0"/>
        <w:ind w:left="585"/>
        <w:jc w:val="left"/>
      </w:pPr>
      <w:r>
        <w:rPr>
          <w:rFonts w:ascii="Times New Roman" w:hAnsi="Times New Roman"/>
          <w:b w:val="false"/>
          <w:i w:val="false"/>
          <w:color w:val="000000"/>
          <w:sz w:val="22"/>
        </w:rPr>
        <w:t>(2) For competitive acquisitions with discussions –</w:t>
      </w:r>
    </w:p>
    <w:p>
      <w:pPr>
        <w:pBdr>
          <w:top w:space="5"/>
          <w:left w:space="5"/>
          <w:bottom w:space="5"/>
          <w:right w:space="5"/>
        </w:pBdr>
        <w:spacing w:after="0"/>
        <w:ind w:left="945"/>
        <w:jc w:val="left"/>
      </w:pPr>
      <w:r>
        <w:rPr>
          <w:rFonts w:ascii="Times New Roman" w:hAnsi="Times New Roman"/>
          <w:b w:val="false"/>
          <w:i w:val="false"/>
          <w:color w:val="000000"/>
          <w:sz w:val="22"/>
        </w:rPr>
        <w:t>(i) Approval by the CAA for the SSA to request final proposal revisions in accordance with FAR 15.307; and</w:t>
      </w:r>
    </w:p>
    <w:p>
      <w:pPr>
        <w:pBdr>
          <w:top w:space="5"/>
          <w:left w:space="5"/>
          <w:bottom w:space="5"/>
          <w:right w:space="5"/>
        </w:pBdr>
        <w:spacing w:after="0"/>
        <w:ind w:left="945"/>
        <w:jc w:val="left"/>
      </w:pPr>
      <w:r>
        <w:rPr>
          <w:rFonts w:ascii="Times New Roman" w:hAnsi="Times New Roman"/>
          <w:b w:val="false"/>
          <w:i w:val="false"/>
          <w:color w:val="000000"/>
          <w:sz w:val="22"/>
        </w:rPr>
        <w:t>(ii) Approval by the CAA for the SSA to make a source selection decision.</w:t>
      </w:r>
    </w:p>
    <w:p>
      <w:pPr>
        <w:pBdr>
          <w:top w:space="5"/>
          <w:left w:space="5"/>
          <w:bottom w:space="5"/>
          <w:right w:space="5"/>
        </w:pBdr>
        <w:spacing w:after="0"/>
        <w:ind w:left="585"/>
        <w:jc w:val="left"/>
      </w:pPr>
      <w:r>
        <w:rPr>
          <w:rFonts w:ascii="Times New Roman" w:hAnsi="Times New Roman"/>
          <w:b w:val="false"/>
          <w:i w:val="false"/>
          <w:color w:val="000000"/>
          <w:sz w:val="22"/>
        </w:rPr>
        <w:t>(3) For noncompetitive contract actions, approval by the CAA to award a contract or contract modification/contract action.</w:t>
      </w:r>
    </w:p>
    <w:p>
      <w:pPr>
        <w:pBdr>
          <w:top w:space="5"/>
          <w:left w:space="5"/>
          <w:bottom w:space="5"/>
          <w:right w:space="5"/>
        </w:pBdr>
        <w:spacing w:after="0"/>
        <w:ind w:left="225"/>
        <w:jc w:val="left"/>
      </w:pPr>
      <w:r>
        <w:rPr>
          <w:rFonts w:ascii="Times New Roman" w:hAnsi="Times New Roman"/>
          <w:b w:val="false"/>
          <w:i w:val="false"/>
          <w:color w:val="000000"/>
          <w:sz w:val="22"/>
        </w:rPr>
        <w:t>(f) “Clearance Reviewer (CR)” means the independent reviewer and the primary advisor to the CAA for clearance. The CR ensures the CAA has the information needed to make an informed decision. The CR identifies deficiencies, assists in resolution, and advises the CAA as appropriate. When the CR is not from the designated CR office or individual identified in the PGI and is selected by the CAA, the CR must be an experienced contracting professional, a Government employee, and must not review their own contract action.</w:t>
      </w:r>
    </w:p>
    <w:p>
      <w:pPr>
        <w:pBdr>
          <w:top w:space="5"/>
          <w:left w:space="5"/>
          <w:bottom w:space="5"/>
          <w:right w:space="5"/>
        </w:pBdr>
        <w:spacing w:after="0"/>
        <w:ind w:left="225"/>
        <w:jc w:val="left"/>
      </w:pPr>
      <w:r>
        <w:rPr>
          <w:rFonts w:ascii="Times New Roman" w:hAnsi="Times New Roman"/>
          <w:b w:val="false"/>
          <w:i w:val="false"/>
          <w:color w:val="000000"/>
          <w:sz w:val="22"/>
        </w:rPr>
        <w:t>(g) “Clearance Approval Authority (CAA)” means the individual identified at 5301.9001(i)(1).</w:t>
      </w:r>
    </w:p>
    <w:p>
      <w:pPr>
        <w:pBdr>
          <w:top w:space="5"/>
          <w:left w:space="5"/>
          <w:bottom w:space="5"/>
          <w:right w:space="5"/>
        </w:pBdr>
        <w:spacing w:after="0"/>
        <w:ind w:left="225"/>
        <w:jc w:val="left"/>
      </w:pPr>
      <w:r>
        <w:rPr>
          <w:rFonts w:ascii="Times New Roman" w:hAnsi="Times New Roman"/>
          <w:b w:val="false"/>
          <w:i w:val="false"/>
          <w:color w:val="000000"/>
          <w:sz w:val="22"/>
        </w:rPr>
        <w:t>(h) “Clearance Review” means the independent review performed by the designated CR office or individual identified in the PGI, or as otherwise selected by the CAA.</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r:id="rId4">
        <w:r>
          <w:rPr>
            <w:rStyle w:val="Hyperlink"/>
            <w:rFonts w:ascii="Times New Roman" w:hAnsi="Times New Roman"/>
            <w:b w:val="false"/>
            <w:i w:val="false"/>
            <w:color w:val="0000ff"/>
            <w:sz w:val="22"/>
            <w:u w:val="single"/>
          </w:rPr>
          <w:t>SMC PGI 5301.9000</w:t>
        </w:r>
      </w:hyperlink>
      <w:r>
        <w:rPr>
          <w:rFonts w:ascii="Times New Roman" w:hAnsi="Times New Roman"/>
          <w:b w:val="false"/>
          <w:i w:val="false"/>
          <w:color w:val="000000"/>
          <w:sz w:val="22"/>
        </w:rPr>
        <w:t xml:space="preserve"> .</w:t>
      </w:r>
    </w:p>
    <w:sectPr>
      <w:pgSz w:w="12240" w:h="15840" w:code="1"/>
      <w:pgMar w:top="1440" w:right="1440" w:bottom="1440" w:left="1440"/>
    </w:sectPr>
  </w:body>
</w:document>
</file>

<file path=word/numbering.xml><?xml version="1.0" encoding="utf-8"?>
<w:numbering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SMC_PGI_5301_9000.dita#AFFARS_pgi_5301_topic_46" Type="http://schemas.openxmlformats.org/officeDocument/2006/relationships/hyperlink" Id="rId4"/>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