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**ID__AFFARS_5301_9000__ID**</w:t>
      </w:r>
    </w:p>
    <w:p>
      <w:pPr>
        <w:pStyle w:val="Heading3"/>
        <w:spacing w:after="199"/>
        <w:ind w:left="120"/>
        <w:jc w:val="left"/>
      </w:pPr>
      <w:r>
        <w:rPr>
          <w:rFonts w:ascii="Times New Roman" w:hAnsi="Times New Roman"/>
          <w:color w:val="000000"/>
          <w:sz w:val="31"/>
        </w:rPr>
        <w:t>5301.9000</w:t>
      </w:r>
      <w:r>
        <w:rPr>
          <w:rFonts w:ascii="Times New Roman" w:hAnsi="Times New Roman"/>
          <w:color w:val="000000"/>
          <w:sz w:val="31"/>
        </w:rPr>
        <w:t xml:space="preserve"> Scope and Definitions</w:t>
      </w:r>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(6) Competitive order solicitations and orders issued in accordance with FAR 8.4, 13, or 16.5 and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SMC PGI 5301.9000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01_9000.dita#AFFARS_SMC_PGI_5301_9000"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