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**ID__AFFARS_5325_topic_15__ID**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5325.7003-3</w:t>
      </w:r>
      <w:r>
        <w:rPr>
          <w:rFonts w:ascii="Times New Roman" w:hAnsi="Times New Roman"/>
          <w:color w:val="000000"/>
          <w:sz w:val="31"/>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The DNAD must be submitted through the SCO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a contractor or offeror submits a “Commercial Derivative Military Article-Specialty Metals Compliance Certificate” (DFARS 252.225-7010) for streamlined compliance for Commercial Derivative Military Articles (CDMA), the Secretary of the Air Force must determine that the item is a CDMA as defined at DFARS 252.225-7009 before using the rules for streamlined compliance for CDMA. The contracting officer must follow the procedures in DFARS 225.7003-3 and submit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 D&amp;F</w:t>
        </w:r>
      </w:hyperlink>
      <w:r>
        <w:rPr>
          <w:rFonts w:ascii="Times New Roman" w:hAnsi="Times New Roman"/>
          <w:b w:val="false"/>
          <w:i w:val="false"/>
          <w:color w:val="000000"/>
          <w:sz w:val="22"/>
        </w:rPr>
        <w:t xml:space="preserve"> through the SCO to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hyperlink r:id="rId8">
        <w:r>
          <w:rPr>
            <w:rStyle w:val="Hyperlink"/>
            <w:rFonts w:ascii="Times New Roman" w:hAnsi="Times New Roman"/>
            <w:b w:val="false"/>
            <w:i w:val="false"/>
            <w:color w:val="0000ff"/>
            <w:sz w:val="22"/>
            <w:u w:val="single"/>
          </w:rPr>
          <w:t>MP5325.7003-3</w:t>
        </w:r>
      </w:hyperlink>
      <w:r>
        <w:rPr>
          <w:rFonts w:ascii="Times New Roman" w:hAnsi="Times New Roman"/>
          <w:b w:val="false"/>
          <w:i w:val="false"/>
          <w:color w:val="000000"/>
          <w:sz w:val="22"/>
        </w:rPr>
        <w:t xml:space="preserve"> .</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templates/determination_and_findings_03.pdf" Type="http://schemas.openxmlformats.org/officeDocument/2006/relationships/hyperlink" Id="rId4"/>
    <Relationship TargetMode="External" Target="mailto:SAF.AQ.SAF-AQC.Workflow@us.af.mil" Type="http://schemas.openxmlformats.org/officeDocument/2006/relationships/hyperlink" Id="rId5"/>
    <Relationship TargetMode="External" Target="https://cs2.eis.af.mil/sites/10059/afcc/knowledge_center/templates/determination_and_findings_01.pdf" Type="http://schemas.openxmlformats.org/officeDocument/2006/relationships/hyperlink" Id="rId6"/>
    <Relationship TargetMode="External" Target="mailto:SAF.AQ.SAF-AQC.Workflow@us.af.mil" Type="http://schemas.openxmlformats.org/officeDocument/2006/relationships/hyperlink" Id="rId7"/>
    <Relationship TargetMode="External" Target="MP5325_7003_3.dita#AFFARS_mp_5325_7003_3_topic_1"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