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**ID__AFFARS_5301_9001__ID**</w:t>
      </w:r>
    </w:p>
    <w:p>
      <w:pPr>
        <w:pStyle w:val="Heading3"/>
        <w:spacing w:after="199"/>
        <w:ind w:left="120"/>
        <w:jc w:val="left"/>
      </w:pPr>
      <w:r>
        <w:rPr>
          <w:rFonts w:ascii="Times New Roman" w:hAnsi="Times New Roman"/>
          <w:color w:val="000000"/>
          <w:sz w:val="31"/>
        </w:rPr>
        <w:t>5301.9001</w:t>
      </w:r>
      <w:r>
        <w:rPr>
          <w:rFonts w:ascii="Times New Roman" w:hAnsi="Times New Roman"/>
          <w:color w:val="000000"/>
          <w:sz w:val="31"/>
        </w:rPr>
        <w:t xml:space="preserve"> Policy, Thresholds, and Approvals</w:t>
      </w:r>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 xml:space="preserve"> </w:t>
            </w:r>
            <w:r>
              <w:rPr>
                <w:rFonts w:ascii="Times New Roman" w:hAnsi="Times New Roman"/>
                <w:b/>
                <w:i w:val="false"/>
                <w:color w:val="000000"/>
                <w:sz w:val="22"/>
              </w:rPr>
              <w:t>≥</w:t>
            </w:r>
            <w:r>
              <w:rPr>
                <w:rFonts w:ascii="Times New Roman" w:hAnsi="Times New Roman"/>
                <w:b/>
                <w:i w:val="false"/>
                <w:color w:val="000000"/>
                <w:sz w:val="22"/>
              </w:rPr>
              <w:t xml:space="preserve"> </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0">
        <w:r>
          <w:rPr>
            <w:rStyle w:val="Hyperlink"/>
            <w:rFonts w:ascii="Times New Roman" w:hAnsi="Times New Roman"/>
            <w:b w:val="false"/>
            <w:i w:val="false"/>
            <w:color w:val="0000ff"/>
            <w:sz w:val="22"/>
            <w:u w:val="single"/>
          </w:rPr>
          <w:t>AF PGI 5301.9001(b)</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1">
        <w:r>
          <w:rPr>
            <w:rStyle w:val="Hyperlink"/>
            <w:rFonts w:ascii="Times New Roman" w:hAnsi="Times New Roman"/>
            <w:b w:val="false"/>
            <w:i w:val="false"/>
            <w:color w:val="0000ff"/>
            <w:sz w:val="22"/>
            <w:u w:val="single"/>
          </w:rPr>
          <w:t>AFDW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2">
        <w:r>
          <w:rPr>
            <w:rStyle w:val="Hyperlink"/>
            <w:rFonts w:ascii="Times New Roman" w:hAnsi="Times New Roman"/>
            <w:b w:val="false"/>
            <w:i w:val="false"/>
            <w:color w:val="0000ff"/>
            <w:sz w:val="22"/>
            <w:u w:val="single"/>
          </w:rPr>
          <w:t>AFICC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3">
        <w:r>
          <w:rPr>
            <w:rStyle w:val="Hyperlink"/>
            <w:rFonts w:ascii="Times New Roman" w:hAnsi="Times New Roman"/>
            <w:b w:val="false"/>
            <w:i w:val="false"/>
            <w:color w:val="0000ff"/>
            <w:sz w:val="22"/>
            <w:u w:val="single"/>
          </w:rPr>
          <w:t>AFMC PGI 5301.90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4">
        <w:r>
          <w:rPr>
            <w:rStyle w:val="Hyperlink"/>
            <w:rFonts w:ascii="Times New Roman" w:hAnsi="Times New Roman"/>
            <w:b w:val="false"/>
            <w:i w:val="false"/>
            <w:color w:val="0000ff"/>
            <w:sz w:val="22"/>
            <w:u w:val="single"/>
          </w:rPr>
          <w:t>SMC PGI 5301.9001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15">
        <w:r>
          <w:rPr>
            <w:rStyle w:val="Hyperlink"/>
            <w:rFonts w:ascii="Times New Roman" w:hAnsi="Times New Roman"/>
            <w:b w:val="false"/>
            <w:i w:val="false"/>
            <w:color w:val="0000ff"/>
            <w:sz w:val="22"/>
            <w:u w:val="single"/>
          </w:rPr>
          <w:t>USAFA PGI 5301.90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https://usaf.dps.mil/sites/AFCC/KnowledgeCenter/contracting_templates/request_for_clearance.pdf" Type="http://schemas.openxmlformats.org/officeDocument/2006/relationships/hyperlink" Id="rId5"/>
    <Relationship TargetMode="External" Target="mailto:SAF.AQ.SAF-AQC.Workflow@us.af.mil" Type="http://schemas.openxmlformats.org/officeDocument/2006/relationships/hyperlink" Id="rId6"/>
    <Relationship TargetMode="External" Target="https://usaf.dps.mil/sites/AFCC/KnowledgeCenter/quarterly_updates/Forms/AllItems.aspx" Type="http://schemas.openxmlformats.org/officeDocument/2006/relationships/hyperlink" Id="rId7"/>
    <Relationship TargetMode="External" Target="https://usaf.dps.mil/sites/AFCC/KnowledgeCenter/contracting_templates/request_for_clearance.pdf" Type="http://schemas.openxmlformats.org/officeDocument/2006/relationships/hyperlink" Id="rId8"/>
    <Relationship TargetMode="External" Target="mailto:SAF.AQ.SAF-AQC.Workflow@us.af.mil" Type="http://schemas.openxmlformats.org/officeDocument/2006/relationships/hyperlink" Id="rId9"/>
    <Relationship TargetMode="External" Target="AF_PGI_5301_9001.dita#AFFARS_AF_PGI_5301_9001" Type="http://schemas.openxmlformats.org/officeDocument/2006/relationships/hyperlink" Id="rId10"/>
    <Relationship TargetMode="External" Target="AFDW_PGI_5301_90.dita#AFFARS_AFDW_PGI_5301_90" Type="http://schemas.openxmlformats.org/officeDocument/2006/relationships/hyperlink" Id="rId11"/>
    <Relationship TargetMode="External" Target="AFICC_PGI_5301_90.dita#AFFARS_AFICC_PGI_5301_90" Type="http://schemas.openxmlformats.org/officeDocument/2006/relationships/hyperlink" Id="rId12"/>
    <Relationship TargetMode="External" Target="AFMC_PGI_5301_90.dita#AFFARS_AFMC_PGI_5301_90" Type="http://schemas.openxmlformats.org/officeDocument/2006/relationships/hyperlink" Id="rId13"/>
    <Relationship TargetMode="External" Target="SMC_PGI_5301_9001.dita#AFFARS_SMC_PGI_5301_9001" Type="http://schemas.openxmlformats.org/officeDocument/2006/relationships/hyperlink" Id="rId14"/>
    <Relationship TargetMode="External" Target="USAFA_PGI_5301_90.dita#AFFARS_USAFA_PGI_5301_90"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