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**ID__AFFARS_5301_topic_31__ID**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5301.9001</w:t>
      </w:r>
      <w:r>
        <w:rPr>
          <w:rFonts w:ascii="Times New Roman" w:hAnsi="Times New Roman"/>
          <w:color w:val="000000"/>
          <w:sz w:val="31"/>
        </w:rPr>
        <w:t xml:space="preserve"> 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(a) The objectives of the business and contract clearance process are to ensure that:</w:t>
      </w:r>
    </w:p>
    <w:p>
      <w:pPr>
        <w:pBdr>
          <w:top w:space="5"/>
          <w:left w:space="5"/>
          <w:bottom w:space="5"/>
          <w:right w:space="5"/>
        </w:pBdr>
        <w:spacing w:after="0"/>
        <w:ind w:left="585"/>
        <w:jc w:val="left"/>
      </w:pPr>
      <w:r>
        <w:rPr>
          <w:rFonts w:ascii="Times New Roman" w:hAnsi="Times New Roman"/>
          <w:b w:val="false"/>
          <w:i w:val="false"/>
          <w:color w:val="000000"/>
          <w:sz w:val="22"/>
        </w:rPr>
        <w:t>(1) Contract actions effectively implement approved acquisition strategies;</w:t>
      </w:r>
    </w:p>
    <w:p>
      <w:pPr>
        <w:pBdr>
          <w:top w:space="5"/>
          <w:left w:space="5"/>
          <w:bottom w:space="5"/>
          <w:right w:space="5"/>
        </w:pBdr>
        <w:spacing w:after="0"/>
        <w:ind w:left="585"/>
        <w:jc w:val="left"/>
      </w:pPr>
      <w:r>
        <w:rPr>
          <w:rFonts w:ascii="Times New Roman" w:hAnsi="Times New Roman"/>
          <w:b w:val="false"/>
          <w:i w:val="false"/>
          <w:color w:val="000000"/>
          <w:sz w:val="22"/>
        </w:rPr>
        <w:t>(2) Negotiations and contract actions result in fair and reasonable business arrangements;</w:t>
      </w:r>
    </w:p>
    <w:p>
      <w:pPr>
        <w:pBdr>
          <w:top w:space="5"/>
          <w:left w:space="5"/>
          <w:bottom w:space="5"/>
          <w:right w:space="5"/>
        </w:pBdr>
        <w:spacing w:after="0"/>
        <w:ind w:left="585"/>
        <w:jc w:val="left"/>
      </w:pPr>
      <w:r>
        <w:rPr>
          <w:rFonts w:ascii="Times New Roman" w:hAnsi="Times New Roman"/>
          <w:b w:val="false"/>
          <w:i w:val="false"/>
          <w:color w:val="000000"/>
          <w:sz w:val="22"/>
        </w:rPr>
        <w:t>(3) Negotiations and contract actions are consistent with laws, regulations, and policies; and</w:t>
      </w:r>
    </w:p>
    <w:p>
      <w:pPr>
        <w:pBdr>
          <w:top w:space="5"/>
          <w:left w:space="5"/>
          <w:bottom w:space="5"/>
          <w:right w:space="5"/>
        </w:pBdr>
        <w:spacing w:after="0"/>
        <w:ind w:left="585"/>
        <w:jc w:val="left"/>
      </w:pPr>
      <w:r>
        <w:rPr>
          <w:rFonts w:ascii="Times New Roman" w:hAnsi="Times New Roman"/>
          <w:b w:val="false"/>
          <w:i w:val="false"/>
          <w:color w:val="000000"/>
          <w:sz w:val="22"/>
        </w:rPr>
        <w:t>(4) An independent review and assessment by the clearance authority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(b) The CAA must ensure that the clearance process meets the objectives in paragraph (a) above. See AF PGI 5301.9001(b) for guidance on the use of multi-functional independent review teams (MIRTS) in conjunction with 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(c) The CAA must seek legal advice (see 5301.602-2(c)(i)) and ensure that counsel has coordinated on any clearance briefings or presentations, and that counsel’s comments are included in the briefing or presentation.</w:t>
      </w:r>
    </w:p>
    <w:p>
      <w:pPr>
        <w:pBdr>
          <w:top w:space="5"/>
          <w:left w:space="5"/>
          <w:bottom w:space="5"/>
          <w:right w:space="5"/>
        </w:pBdr>
        <w:spacing w:after="0"/>
        <w:ind w:left="225"/>
        <w:jc w:val="left"/>
      </w:pPr>
      <w:r>
        <w:rPr>
          <w:rFonts w:ascii="Times New Roman" w:hAnsi="Times New Roman"/>
          <w:b w:val="false"/>
          <w:i w:val="false"/>
          <w:color w:val="000000"/>
          <w:sz w:val="22"/>
        </w:rP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Bdr>
          <w:top w:space="5"/>
          <w:left w:space="5"/>
          <w:bottom w:space="5"/>
          <w:right w:space="5"/>
        </w:pBdr>
        <w:spacing w:after="0"/>
        <w:ind w:left="225"/>
        <w:jc w:val="left"/>
      </w:pPr>
      <w:r>
        <w:rPr>
          <w:rFonts w:ascii="Times New Roman" w:hAnsi="Times New Roman"/>
          <w:b w:val="false"/>
          <w:i w:val="false"/>
          <w:color w:val="000000"/>
          <w:sz w:val="22"/>
        </w:rPr>
        <w:t>(e) At the discretion of the CAA, contract clearance is not required when the negotiation team stays within the pre-set negotiation range and the parameters approved at the business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(f) If a CAA requires clearance for competitive order solicitations or orders when excluded in accordance with 5301.9000(b)(6), the SCO must submit a written justification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upon execution.</w:t>
      </w:r>
    </w:p>
    <w:p>
      <w:pPr>
        <w:pBdr>
          <w:top w:space="5"/>
          <w:left w:space="5"/>
          <w:bottom w:space="5"/>
          <w:right w:space="5"/>
        </w:pBdr>
        <w:spacing w:after="0"/>
        <w:ind w:left="225"/>
        <w:jc w:val="left"/>
      </w:pPr>
      <w:r>
        <w:rPr>
          <w:rFonts w:ascii="Times New Roman" w:hAnsi="Times New Roman"/>
          <w:b w:val="false"/>
          <w:i w:val="false"/>
          <w:color w:val="000000"/>
          <w:sz w:val="22"/>
        </w:rPr>
        <w:t>(g) The Source Selection Authority (SSA) must not be the CAA</w:t>
      </w:r>
    </w:p>
    <w:p>
      <w:pPr>
        <w:pBdr>
          <w:top w:space="5"/>
          <w:left w:space="5"/>
          <w:bottom w:space="5"/>
          <w:right w:space="5"/>
        </w:pBdr>
        <w:spacing w:after="0"/>
        <w:ind w:left="225"/>
        <w:jc w:val="left"/>
      </w:pPr>
      <w:r>
        <w:rPr>
          <w:rFonts w:ascii="Times New Roman" w:hAnsi="Times New Roman"/>
          <w:b w:val="false"/>
          <w:i w:val="false"/>
          <w:color w:val="000000"/>
          <w:sz w:val="22"/>
        </w:rPr>
        <w:t>(h) The Milestone Decision Authority, PEO, or lead program manager must coordinate and/or participate in business clearance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 actions meeting the contract value thresholds set below must not be awarded without obtaining the required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and contract clearance approval</w:t>
        </w:r>
      </w:hyperlink>
      <w:r>
        <w:rPr>
          <w:rFonts w:ascii="Times New Roman" w:hAnsi="Times New Roman"/>
          <w:b w:val="false"/>
          <w:i w:val="false"/>
          <w:color w:val="000000"/>
          <w:sz w:val="22"/>
        </w:rPr>
        <w:t>. Contract value is determined by the definition in FAR 1.108(c) and AF PGI 5301.108(c).</w:t>
      </w:r>
    </w:p>
    <w:p>
      <w:pPr>
        <w:pBdr>
          <w:top w:space="5"/>
          <w:left w:space="5"/>
          <w:bottom w:space="5"/>
          <w:right w:space="5"/>
        </w:pBdr>
        <w:spacing w:after="0"/>
        <w:ind w:left="585"/>
        <w:jc w:val="left"/>
      </w:pPr>
      <w:r>
        <w:rPr>
          <w:rFonts w:ascii="Times New Roman" w:hAnsi="Times New Roman"/>
          <w:b w:val="false"/>
          <w:i w:val="false"/>
          <w:color w:val="000000"/>
          <w:sz w:val="22"/>
        </w:rPr>
        <w:t>(1) Clearance Approval:</w:t>
      </w:r>
    </w:p>
    <w:p>
      <w:pPr>
        <w:pBdr>
          <w:top w:space="5"/>
          <w:left w:space="5"/>
          <w:bottom w:space="5"/>
          <w:right w:space="5"/>
        </w:pBdr>
        <w:spacing w:after="0"/>
        <w:ind w:left="945"/>
        <w:jc w:val="left"/>
      </w:pPr>
      <w:r>
        <w:rPr>
          <w:rFonts w:ascii="Times New Roman" w:hAnsi="Times New Roman"/>
          <w:b w:val="false"/>
          <w:i w:val="false"/>
          <w:color w:val="000000"/>
          <w:sz w:val="22"/>
        </w:rPr>
        <w:t>(i) The DAS(C) or ADAS(C) is the business clearance approval authority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SCOs retain contract clearance approval authority.</w:t>
      </w:r>
    </w:p>
    <w:p>
      <w:pPr>
        <w:pBdr>
          <w:top w:space="5"/>
          <w:left w:space="5"/>
          <w:bottom w:space="5"/>
          <w:right w:space="5"/>
        </w:pBdr>
        <w:spacing w:after="0"/>
        <w:ind w:left="945"/>
        <w:jc w:val="left"/>
      </w:pPr>
      <w:r>
        <w:rPr>
          <w:rFonts w:ascii="Times New Roman" w:hAnsi="Times New Roman"/>
          <w:b w:val="false"/>
          <w:i w:val="false"/>
          <w:color w:val="000000"/>
          <w:sz w:val="22"/>
        </w:rPr>
        <w:t>(ii) The CAA is the approval authority for all contract actions as delegated in TABLE 1 below. The Table 1 thresholds represent the minimum delegation that must be made. SCOs may increase the specified dollar thresholds at their discretion.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(iii) If a SCO reduces the thresholds or withholds the clearance approval authority from the designees in TABLE 1 below, the SCO must notify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If the SCO reduces or withholds clearance approval authority for more than six months, the SCO must brief the DAS(C) regarding the circumstances surrounding the decision.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r>
              <w:rPr>
                <w:rFonts w:ascii="Times New Roman" w:hAnsi="Times New Roman"/>
                <w:b/>
                <w:i w:val="false"/>
                <w:color w:val="000000"/>
                <w:sz w:val="22"/>
              </w:rPr>
              <w:t xml:space="preserve"> </w:t>
            </w:r>
            <w:r>
              <w:rPr>
                <w:rFonts w:ascii="Times New Roman" w:hAnsi="Times New Roman"/>
                <w:b/>
                <w:i w:val="false"/>
                <w:color w:val="000000"/>
                <w:sz w:val="22"/>
              </w:rPr>
              <w:t>≥</w:t>
            </w:r>
            <w:r>
              <w:rPr>
                <w:rFonts w:ascii="Times New Roman" w:hAnsi="Times New Roman"/>
                <w:b/>
                <w:i w:val="false"/>
                <w:color w:val="000000"/>
                <w:sz w:val="22"/>
              </w:rPr>
              <w:t xml:space="preserve"> </w:t>
            </w:r>
            <w:r>
              <w:rPr>
                <w:rFonts w:ascii="Times New Roman" w:hAnsi="Times New Roman"/>
                <w:b/>
                <w:i w:val="false"/>
                <w:color w:val="000000"/>
                <w:sz w:val="22"/>
              </w:rPr>
              <w:t>$1B</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Operational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Enterprise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$50M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$50M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(Systems)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TABLE 1(iv). To facilitate planning for SAF/AQC Clearance approvals, SCOs must use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to project SAF/AQC Clearance approvals.</w:t>
      </w:r>
    </w:p>
    <w:p>
      <w:pPr>
        <w:pBdr>
          <w:top w:space="5"/>
          <w:left w:space="5"/>
          <w:bottom w:space="5"/>
          <w:right w:space="5"/>
        </w:pBdr>
        <w:spacing w:after="0"/>
        <w:ind w:left="585"/>
        <w:jc w:val="left"/>
      </w:pPr>
      <w:r>
        <w:rPr>
          <w:rFonts w:ascii="Times New Roman" w:hAnsi="Times New Roman"/>
          <w:b w:val="false"/>
          <w:i w:val="false"/>
          <w:color w:val="000000"/>
          <w:sz w:val="22"/>
        </w:rPr>
        <w:t>(2) For PEO and Enterprise contracting, business and contract clearance are required for actions greater than or equal to $5M.</w:t>
      </w:r>
    </w:p>
    <w:p>
      <w:pPr>
        <w:pBdr>
          <w:top w:space="5"/>
          <w:left w:space="5"/>
          <w:bottom w:space="5"/>
          <w:right w:space="5"/>
        </w:pBdr>
        <w:spacing w:after="0"/>
        <w:ind w:left="585"/>
        <w:jc w:val="left"/>
      </w:pPr>
      <w:r>
        <w:rPr>
          <w:rFonts w:ascii="Times New Roman" w:hAnsi="Times New Roman"/>
          <w:b w:val="false"/>
          <w:i w:val="false"/>
          <w:color w:val="000000"/>
          <w:sz w:val="22"/>
        </w:rPr>
        <w:t>(3) For Operational contracting, business and contract clearance are required for actions greater than or equal to $3M.</w:t>
      </w:r>
    </w:p>
    <w:p>
      <w:pPr>
        <w:pBdr>
          <w:top w:space="5"/>
          <w:left w:space="5"/>
          <w:bottom w:space="5"/>
          <w:right w:space="5"/>
        </w:pBdr>
        <w:spacing w:after="0"/>
        <w:ind w:left="585"/>
        <w:jc w:val="left"/>
      </w:pPr>
      <w:r>
        <w:rPr>
          <w:rFonts w:ascii="Times New Roman" w:hAnsi="Times New Roman"/>
          <w:b w:val="false"/>
          <w:i w:val="false"/>
          <w:color w:val="000000"/>
          <w:sz w:val="22"/>
        </w:rPr>
        <w:t>(4) SCOs are responsible for ensuring all further delegations of clearance approval authorities are included in the PGI.</w:t>
      </w:r>
    </w:p>
    <w:p>
      <w:pPr>
        <w:pBdr>
          <w:top w:space="5"/>
          <w:left w:space="5"/>
          <w:bottom w:space="5"/>
          <w:right w:space="5"/>
        </w:pBdr>
        <w:spacing w:after="0"/>
        <w:ind w:left="585"/>
        <w:jc w:val="left"/>
      </w:pPr>
      <w:r>
        <w:rPr>
          <w:rFonts w:ascii="Times New Roman" w:hAnsi="Times New Roman"/>
          <w:b w:val="false"/>
          <w:i w:val="false"/>
          <w:color w:val="000000"/>
          <w:sz w:val="22"/>
        </w:rP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Clearance requests</w:t>
        </w:r>
      </w:hyperlink>
      <w:r>
        <w:rPr>
          <w:rFonts w:ascii="Times New Roman" w:hAnsi="Times New Roman"/>
          <w:b w:val="false"/>
          <w:i w:val="false"/>
          <w:color w:val="000000"/>
          <w:sz w:val="22"/>
        </w:rPr>
        <w:t xml:space="preserve"> must be sent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DAS(C)/ADAS(C).</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0">
        <w:r>
          <w:rPr>
            <w:rStyle w:val="Hyperlink"/>
            <w:rFonts w:ascii="Times New Roman" w:hAnsi="Times New Roman"/>
            <w:b w:val="false"/>
            <w:i w:val="false"/>
            <w:color w:val="0000ff"/>
            <w:sz w:val="22"/>
            <w:u w:val="single"/>
          </w:rPr>
          <w:t>AF PGI 5301.9001(b)</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1">
        <w:r>
          <w:rPr>
            <w:rStyle w:val="Hyperlink"/>
            <w:rFonts w:ascii="Times New Roman" w:hAnsi="Times New Roman"/>
            <w:b w:val="false"/>
            <w:i w:val="false"/>
            <w:color w:val="0000ff"/>
            <w:sz w:val="22"/>
            <w:u w:val="single"/>
          </w:rPr>
          <w:t>AFDW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2">
        <w:r>
          <w:rPr>
            <w:rStyle w:val="Hyperlink"/>
            <w:rFonts w:ascii="Times New Roman" w:hAnsi="Times New Roman"/>
            <w:b w:val="false"/>
            <w:i w:val="false"/>
            <w:color w:val="0000ff"/>
            <w:sz w:val="22"/>
            <w:u w:val="single"/>
          </w:rPr>
          <w:t>AFICC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3">
        <w:r>
          <w:rPr>
            <w:rStyle w:val="Hyperlink"/>
            <w:rFonts w:ascii="Times New Roman" w:hAnsi="Times New Roman"/>
            <w:b w:val="false"/>
            <w:i w:val="false"/>
            <w:color w:val="0000ff"/>
            <w:sz w:val="22"/>
            <w:u w:val="single"/>
          </w:rPr>
          <w:t>AFMC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4">
        <w:r>
          <w:rPr>
            <w:rStyle w:val="Hyperlink"/>
            <w:rFonts w:ascii="Times New Roman" w:hAnsi="Times New Roman"/>
            <w:b w:val="false"/>
            <w:i w:val="false"/>
            <w:color w:val="0000ff"/>
            <w:sz w:val="22"/>
            <w:u w:val="single"/>
          </w:rPr>
          <w:t>SMC PGI 5301.9001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5">
        <w:r>
          <w:rPr>
            <w:rStyle w:val="Hyperlink"/>
            <w:rFonts w:ascii="Times New Roman" w:hAnsi="Times New Roman"/>
            <w:b w:val="false"/>
            <w:i w:val="false"/>
            <w:color w:val="0000ff"/>
            <w:sz w:val="22"/>
            <w:u w:val="single"/>
          </w:rPr>
          <w:t>USAFA PGI 5301.90</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https://usaf.dps.mil/sites/AFCC/KnowledgeCenter/contracting_templates/request_for_clearance.pdf" Type="http://schemas.openxmlformats.org/officeDocument/2006/relationships/hyperlink" Id="rId5"/>
    <Relationship TargetMode="External" Target="mailto:SAF.AQ.SAF-AQC.Workflow@us.af.mil" Type="http://schemas.openxmlformats.org/officeDocument/2006/relationships/hyperlink" Id="rId6"/>
    <Relationship TargetMode="External" Target="https://usaf.dps.mil/sites/AFCC/KnowledgeCenter/quarterly_updates/Forms/AllItems.aspx" Type="http://schemas.openxmlformats.org/officeDocument/2006/relationships/hyperlink" Id="rId7"/>
    <Relationship TargetMode="External" Target="https://usaf.dps.mil/sites/AFCC/KnowledgeCenter/contracting_templates/request_for_clearance.pdf" Type="http://schemas.openxmlformats.org/officeDocument/2006/relationships/hyperlink" Id="rId8"/>
    <Relationship TargetMode="External" Target="mailto:SAF.AQ.SAF-AQC.Workflow@us.af.mil" Type="http://schemas.openxmlformats.org/officeDocument/2006/relationships/hyperlink" Id="rId9"/>
    <Relationship TargetMode="External" Target="AF_PGI_5301_9001.dita#AFFARS_pgi_5301_topic_8" Type="http://schemas.openxmlformats.org/officeDocument/2006/relationships/hyperlink" Id="rId10"/>
    <Relationship TargetMode="External" Target="AFDW_PGI_5301_90.dita#AFFARS_pgi_5301_topic_12" Type="http://schemas.openxmlformats.org/officeDocument/2006/relationships/hyperlink" Id="rId11"/>
    <Relationship TargetMode="External" Target="AFICC_PGI_5301_90.dita#AFFARS_pgi_5301_topic_19" Type="http://schemas.openxmlformats.org/officeDocument/2006/relationships/hyperlink" Id="rId12"/>
    <Relationship TargetMode="External" Target="AFMC_PGI_5301_90.dita#AFFARS_pgi_5301_topic_31" Type="http://schemas.openxmlformats.org/officeDocument/2006/relationships/hyperlink" Id="rId13"/>
    <Relationship TargetMode="External" Target="SMC_PGI_5301_9001.dita#AFFARS_pgi_5301_topic_47" Type="http://schemas.openxmlformats.org/officeDocument/2006/relationships/hyperlink" Id="rId14"/>
    <Relationship TargetMode="External" Target="USAFA_PGI_5301_90.dita#AFFARS_pgi_5301_topic_53"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