
<file path=[Content_Types].xml><?xml version="1.0" encoding="utf-8"?>
<Types xmlns="http://schemas.openxmlformats.org/package/2006/content-types">
  <Default Extension="rels" ContentType="application/vnd.openxmlformats-package.relationships+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numbering+xml" PartName="/word/numbering.xml"/>
  <Override ContentType="application/vnd.openxmlformats-officedocument.wordprocessingml.settings+xml" PartName="/word/settings.xml"/>
  <Override ContentType="application/vnd.openxmlformats-officedocument.wordprocessingml.styles+xml" PartName="/word/styles.xml"/>
</Types>
</file>

<file path=_rels/.rels><?xml version="1.0" encoding="UTF-8" standalone="yes"?>
<Relationships xmlns="http://schemas.openxmlformats.org/package/2006/relationships">
    <Relationship Target="word/document.xml" Type="http://schemas.openxmlformats.org/officeDocument/2006/relationships/officeDocument" Id="rId1"/>
    <Relationship Target="docProps/core.xml" Type="http://schemas.openxmlformats.org/package/2006/relationships/metadata/core-properties" Id="rId2"/>
    <Relationship Target="docProps/app.xml" Type="http://schemas.openxmlformats.org/officeDocument/2006/relationships/extended-properties" Id="rId3"/>
</Relationships>

</file>

<file path=word/document.xml><?xml version="1.0" encoding="utf-8"?>
<w:document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body>
    <!-- Created by docx4j 6.1.2 (Apache licensed) using REFERENCE JAXB in Oracle Java 15 on Linux -->
    <w:p>
      <w:pPr>
        <w:pBdr>
          <w:top w:space="5"/>
          <w:left w:space="5"/>
          <w:bottom w:space="5"/>
          <w:right w:space="5"/>
        </w:pBdr>
        <w:spacing w:after="0"/>
        <w:ind w:left="225"/>
        <w:jc w:val="left"/>
      </w:pPr>
      <w:r>
        <w:rPr>
          <w:rFonts w:ascii="Times New Roman" w:hAnsi="Times New Roman"/>
          <w:b w:val="false"/>
          <w:i w:val="false"/>
          <w:color w:val="000000"/>
          <w:sz w:val="22"/>
        </w:rPr>
        <w:t>**ID__AFFARS_5327_303__ID**</w:t>
      </w:r>
    </w:p>
    <w:p>
      <w:pPr>
        <w:pStyle w:val="Heading3"/>
        <w:spacing w:after="199"/>
        <w:ind w:left="120"/>
        <w:jc w:val="left"/>
      </w:pPr>
      <w:r>
        <w:rPr>
          <w:rFonts w:ascii="Times New Roman" w:hAnsi="Times New Roman"/>
          <w:color w:val="000000"/>
          <w:sz w:val="31"/>
        </w:rPr>
        <w:t>5327.303</w:t>
      </w:r>
      <w:r>
        <w:rPr>
          <w:rFonts w:ascii="Times New Roman" w:hAnsi="Times New Roman"/>
          <w:color w:val="000000"/>
          <w:sz w:val="31"/>
        </w:rPr>
        <w:t xml:space="preserve"> Contract Clauses</w:t>
      </w:r>
    </w:p>
    <w:p>
      <w:pPr>
        <w:pBdr>
          <w:top w:space="5"/>
          <w:left w:space="5"/>
          <w:bottom w:space="5"/>
          <w:right w:space="5"/>
        </w:pBdr>
        <w:spacing w:after="0"/>
        <w:ind w:left="225"/>
        <w:jc w:val="left"/>
      </w:pPr>
      <w:r>
        <w:rPr>
          <w:rFonts w:ascii="Times New Roman" w:hAnsi="Times New Roman"/>
          <w:b w:val="false"/>
          <w:i w:val="false"/>
          <w:color w:val="000000"/>
          <w:sz w:val="22"/>
        </w:rPr>
        <w:t>(b)(1) When using clause 52.227-11, insert instructions substantially the same as the following in the fill-in of section (j):</w:t>
      </w:r>
    </w:p>
    <w:p>
      <w:pPr>
        <w:pBdr>
          <w:top w:space="5"/>
          <w:left w:space="5"/>
          <w:bottom w:space="5"/>
          <w:right w:space="5"/>
        </w:pBdr>
        <w:spacing w:after="0"/>
        <w:ind w:left="585"/>
        <w:jc w:val="left"/>
      </w:pPr>
      <w:r>
        <w:rPr>
          <w:rFonts w:ascii="Times New Roman" w:hAnsi="Times New Roman"/>
          <w:b w:val="false"/>
          <w:i w:val="false"/>
          <w:color w:val="000000"/>
          <w:sz w:val="22"/>
        </w:rPr>
        <w:t xml:space="preserve">(1) “Interim or final Invention Reports shall be sent to both the Administrative Contracting Officer, </w:t>
      </w:r>
      <w:r>
        <w:rPr>
          <w:rFonts w:ascii="Times New Roman" w:hAnsi="Times New Roman"/>
          <w:b w:val="false"/>
          <w:i/>
          <w:color w:val="000000"/>
          <w:sz w:val="22"/>
        </w:rPr>
        <w:t>(insert “at the address located</w:t>
      </w:r>
      <w:r>
        <w:rPr>
          <w:rFonts w:ascii="Times New Roman" w:hAnsi="Times New Roman"/>
          <w:b w:val="false"/>
          <w:i w:val="false"/>
          <w:color w:val="000000"/>
          <w:sz w:val="22"/>
        </w:rPr>
        <w:t xml:space="preserve"> </w:t>
      </w:r>
      <w:r>
        <w:rPr>
          <w:rFonts w:ascii="Times New Roman" w:hAnsi="Times New Roman"/>
          <w:b w:val="false"/>
          <w:i/>
          <w:color w:val="000000"/>
          <w:sz w:val="22"/>
        </w:rPr>
        <w:t>on the face of the contract” or</w:t>
      </w:r>
      <w:r>
        <w:rPr>
          <w:rFonts w:ascii="Times New Roman" w:hAnsi="Times New Roman"/>
          <w:b w:val="false"/>
          <w:i w:val="false"/>
          <w:color w:val="000000"/>
          <w:sz w:val="22"/>
        </w:rPr>
        <w:t xml:space="preserve"> </w:t>
      </w:r>
      <w:r>
        <w:rPr>
          <w:rFonts w:ascii="Times New Roman" w:hAnsi="Times New Roman"/>
          <w:b w:val="false"/>
          <w:i/>
          <w:color w:val="000000"/>
          <w:sz w:val="22"/>
        </w:rPr>
        <w:t>name and address for the ACO)</w:t>
      </w:r>
      <w:r>
        <w:rPr>
          <w:rFonts w:ascii="Times New Roman" w:hAnsi="Times New Roman"/>
          <w:b w:val="false"/>
          <w:i w:val="false"/>
          <w:color w:val="000000"/>
          <w:sz w:val="22"/>
        </w:rPr>
        <w:t xml:space="preserve"> and to </w:t>
      </w:r>
      <w:r>
        <w:rPr>
          <w:rFonts w:ascii="Times New Roman" w:hAnsi="Times New Roman"/>
          <w:b w:val="false"/>
          <w:i/>
          <w:color w:val="000000"/>
          <w:sz w:val="22"/>
        </w:rPr>
        <w:t>(insert contact information, name/or position title, email, and phone number for person(s) at the procuring contract office who</w:t>
      </w:r>
      <w:r>
        <w:rPr>
          <w:rFonts w:ascii="Times New Roman" w:hAnsi="Times New Roman"/>
          <w:b w:val="false"/>
          <w:i w:val="false"/>
          <w:color w:val="000000"/>
          <w:sz w:val="22"/>
        </w:rPr>
        <w:t xml:space="preserve"> </w:t>
      </w:r>
      <w:r>
        <w:rPr>
          <w:rFonts w:ascii="Times New Roman" w:hAnsi="Times New Roman"/>
          <w:b w:val="false"/>
          <w:i/>
          <w:color w:val="000000"/>
          <w:sz w:val="22"/>
        </w:rPr>
        <w:t>will</w:t>
      </w:r>
      <w:r>
        <w:rPr>
          <w:rFonts w:ascii="Times New Roman" w:hAnsi="Times New Roman"/>
          <w:b w:val="false"/>
          <w:i w:val="false"/>
          <w:color w:val="000000"/>
          <w:sz w:val="22"/>
        </w:rPr>
        <w:t xml:space="preserve"> </w:t>
      </w:r>
      <w:r>
        <w:rPr>
          <w:rFonts w:ascii="Times New Roman" w:hAnsi="Times New Roman"/>
          <w:b w:val="false"/>
          <w:i/>
          <w:color w:val="000000"/>
          <w:sz w:val="22"/>
        </w:rPr>
        <w:t>perform patent administration</w:t>
      </w:r>
      <w:r>
        <w:rPr>
          <w:rFonts w:ascii="Times New Roman" w:hAnsi="Times New Roman"/>
          <w:b w:val="false"/>
          <w:i w:val="false"/>
          <w:color w:val="000000"/>
          <w:sz w:val="22"/>
        </w:rPr>
        <w:t xml:space="preserve"> </w:t>
      </w:r>
      <w:r>
        <w:rPr>
          <w:rFonts w:ascii="Times New Roman" w:hAnsi="Times New Roman"/>
          <w:b w:val="false"/>
          <w:i/>
          <w:color w:val="000000"/>
          <w:sz w:val="22"/>
        </w:rPr>
        <w:t>for this contract</w:t>
      </w:r>
      <w:r>
        <w:rPr>
          <w:rFonts w:ascii="Times New Roman" w:hAnsi="Times New Roman"/>
          <w:b w:val="false"/>
          <w:i/>
          <w:color w:val="000000"/>
          <w:sz w:val="22"/>
        </w:rPr>
        <w:t>)</w:t>
      </w:r>
      <w:r>
        <w:rPr>
          <w:rFonts w:ascii="Times New Roman" w:hAnsi="Times New Roman"/>
          <w:b w:val="false"/>
          <w:i w:val="false"/>
          <w:color w:val="000000"/>
          <w:sz w:val="22"/>
        </w:rPr>
        <w:t xml:space="preserve"> within the timeframes specified in the Patent Rights clause of this contract.</w:t>
      </w:r>
    </w:p>
    <w:p>
      <w:pPr>
        <w:pBdr>
          <w:top w:space="5"/>
          <w:left w:space="5"/>
          <w:bottom w:space="5"/>
          <w:right w:space="5"/>
        </w:pBdr>
        <w:spacing w:after="0"/>
        <w:ind w:left="585"/>
        <w:jc w:val="left"/>
      </w:pPr>
      <w:r>
        <w:rPr>
          <w:rFonts w:ascii="Times New Roman" w:hAnsi="Times New Roman"/>
          <w:b w:val="false"/>
          <w:i w:val="false"/>
          <w:color w:val="000000"/>
          <w:sz w:val="22"/>
        </w:rPr>
        <w:t xml:space="preserve">(2) The </w:t>
      </w:r>
      <w:hyperlink r:id="rId4">
        <w:r>
          <w:rPr>
            <w:rStyle w:val="Hyperlink"/>
            <w:rFonts w:ascii="Times New Roman" w:hAnsi="Times New Roman"/>
            <w:b w:val="false"/>
            <w:i w:val="false"/>
            <w:color w:val="0000ff"/>
            <w:sz w:val="22"/>
            <w:u w:val="single"/>
          </w:rPr>
          <w:t/>
        </w:r>
        <w:r>
          <w:rPr>
            <w:rFonts w:ascii="Times New Roman" w:hAnsi="Times New Roman"/>
            <w:b w:val="false"/>
            <w:i w:val="false"/>
            <w:color w:val="0000ff"/>
            <w:sz w:val="22"/>
            <w:u w:val="single"/>
          </w:rPr>
          <w:t>DD Form 882</w:t>
        </w:r>
      </w:hyperlink>
      <w:r>
        <w:rPr>
          <w:rFonts w:ascii="Times New Roman" w:hAnsi="Times New Roman"/>
          <w:b w:val="false"/>
          <w:i w:val="false"/>
          <w:color w:val="000000"/>
          <w:sz w:val="22"/>
        </w:rPr>
        <w:t xml:space="preserve">, </w:t>
      </w:r>
      <w:r>
        <w:rPr>
          <w:rFonts w:ascii="Times New Roman" w:hAnsi="Times New Roman"/>
          <w:b w:val="false"/>
          <w:i/>
          <w:color w:val="000000"/>
          <w:sz w:val="22"/>
        </w:rPr>
        <w:t>Report of Inventions</w:t>
      </w:r>
      <w:r>
        <w:rPr>
          <w:rFonts w:ascii="Times New Roman" w:hAnsi="Times New Roman"/>
          <w:b w:val="false"/>
          <w:i w:val="false"/>
          <w:color w:val="000000"/>
          <w:sz w:val="22"/>
        </w:rPr>
        <w:t xml:space="preserve"> </w:t>
      </w:r>
      <w:r>
        <w:rPr>
          <w:rFonts w:ascii="Times New Roman" w:hAnsi="Times New Roman"/>
          <w:b w:val="false"/>
          <w:i/>
          <w:color w:val="000000"/>
          <w:sz w:val="22"/>
        </w:rPr>
        <w:t>and Subcontracts</w:t>
      </w:r>
      <w:r>
        <w:rPr>
          <w:rFonts w:ascii="Times New Roman" w:hAnsi="Times New Roman"/>
          <w:b w:val="false"/>
          <w:i w:val="false"/>
          <w:color w:val="000000"/>
          <w:sz w:val="22"/>
        </w:rPr>
        <w:t>, may be used to submit these reports. The DD Form 882 may be also be used for the notification of an award of any subcontract(s) for experimental, developmental or research work which contain a Patent Rights clause.</w:t>
      </w:r>
    </w:p>
    <w:p>
      <w:pPr>
        <w:pBdr>
          <w:top w:space="5"/>
          <w:left w:space="5"/>
          <w:bottom w:space="5"/>
          <w:right w:space="5"/>
        </w:pBdr>
        <w:spacing w:after="0"/>
        <w:ind w:left="585"/>
        <w:jc w:val="left"/>
      </w:pPr>
      <w:r>
        <w:rPr>
          <w:rFonts w:ascii="Times New Roman" w:hAnsi="Times New Roman"/>
          <w:b w:val="false"/>
          <w:i w:val="false"/>
          <w:color w:val="000000"/>
          <w:sz w:val="22"/>
        </w:rPr>
        <w:t xml:space="preserve">(3) All other notifications required pursuant to this clause shall be sent to the addresses in paragraph 1 and to </w:t>
      </w:r>
      <w:r>
        <w:rPr>
          <w:rFonts w:ascii="Times New Roman" w:hAnsi="Times New Roman"/>
          <w:b w:val="false"/>
          <w:i/>
          <w:color w:val="000000"/>
          <w:sz w:val="22"/>
        </w:rPr>
        <w:t>(insert contact information for person(s) at the procuring contract office who will handle patent administration, e.g., name and/or position, email, phone numbers</w:t>
      </w:r>
      <w:r>
        <w:rPr>
          <w:rFonts w:ascii="Times New Roman" w:hAnsi="Times New Roman"/>
          <w:b w:val="false"/>
          <w:i/>
          <w:color w:val="000000"/>
          <w:sz w:val="22"/>
        </w:rPr>
        <w:t>)</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5">
        <w:r>
          <w:rPr>
            <w:rStyle w:val="Hyperlink"/>
            <w:rFonts w:ascii="Times New Roman" w:hAnsi="Times New Roman"/>
            <w:b w:val="false"/>
            <w:i w:val="false"/>
            <w:color w:val="0000ff"/>
            <w:sz w:val="22"/>
            <w:u w:val="single"/>
          </w:rPr>
          <w:t>SMC PGI 5327.304-90</w:t>
        </w:r>
      </w:hyperlink>
      <w:r>
        <w:rPr>
          <w:rFonts w:ascii="Times New Roman" w:hAnsi="Times New Roman"/>
          <w:b w:val="false"/>
          <w:i w:val="false"/>
          <w:color w:val="000000"/>
          <w:sz w:val="22"/>
        </w:rPr>
        <w:t xml:space="preserve"> .</w:t>
      </w:r>
    </w:p>
    <w:p>
      <w:pPr>
        <w:pBdr>
          <w:top w:space="5"/>
          <w:left w:space="5"/>
          <w:bottom w:space="5"/>
          <w:right w:space="5"/>
        </w:pBdr>
        <w:spacing w:after="0"/>
        <w:ind w:left="225"/>
        <w:jc w:val="left"/>
      </w:pPr>
      <w:r>
        <w:rPr>
          <w:rFonts w:ascii="Times New Roman" w:hAnsi="Times New Roman"/>
          <w:b w:val="false"/>
          <w:i w:val="false"/>
          <w:color w:val="000000"/>
          <w:sz w:val="22"/>
        </w:rPr>
        <w:t xml:space="preserve">See </w:t>
      </w:r>
      <w:hyperlink r:id="rId6">
        <w:r>
          <w:rPr>
            <w:rStyle w:val="Hyperlink"/>
            <w:rFonts w:ascii="Times New Roman" w:hAnsi="Times New Roman"/>
            <w:b w:val="false"/>
            <w:i w:val="false"/>
            <w:color w:val="0000ff"/>
            <w:sz w:val="22"/>
            <w:u w:val="single"/>
          </w:rPr>
          <w:t>AFMC PGI 5327.7102-2</w:t>
        </w:r>
      </w:hyperlink>
      <w:r>
        <w:rPr>
          <w:rFonts w:ascii="Times New Roman" w:hAnsi="Times New Roman"/>
          <w:b w:val="false"/>
          <w:i w:val="false"/>
          <w:color w:val="000000"/>
          <w:sz w:val="22"/>
        </w:rPr>
        <w:t>.</w:t>
      </w:r>
    </w:p>
    <w:sectPr>
      <w:pgSz w:w="12240" w:h="15840" w:code="1"/>
      <w:pgMar w:top="1440" w:right="1440" w:bottom="1440" w:left="1440"/>
    </w:sectPr>
  </w:body>
</w:document>
</file>

<file path=word/numbering.xml><?xml version="1.0" encoding="utf-8"?>
<w:numbering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abstractNum w:abstractNumId="0">
    <w:nsid w:val="16892FB7"/>
    <w:multiLevelType w:val="hybridMultilevel"/>
    <w:tmpl w:val="5A4EB96A"/>
    <w:lvl w:ilvl="0" w:tplc="0C090001">
      <w:start w:val="1"/>
      <w:numFmt w:val="bullet"/>
      <w:lvlText w:val=""/>
      <w:lvlJc w:val="left"/>
      <w:pPr>
        <w:ind w:left="720" w:hanging="360"/>
      </w:pPr>
      <w:rPr>
        <w:rFonts w:hint="default" w:ascii="Symbol" w:hAnsi="Symbol"/>
      </w:rPr>
    </w:lvl>
    <w:lvl w:ilvl="1" w:tplc="0C090003" w:tentative="true">
      <w:start w:val="1"/>
      <w:numFmt w:val="bullet"/>
      <w:lvlText w:val="o"/>
      <w:lvlJc w:val="left"/>
      <w:pPr>
        <w:ind w:left="1440" w:hanging="360"/>
      </w:pPr>
      <w:rPr>
        <w:rFonts w:hint="default" w:ascii="Courier New" w:hAnsi="Courier New" w:cs="Courier New"/>
      </w:rPr>
    </w:lvl>
    <w:lvl w:ilvl="2" w:tplc="0C090005" w:tentative="true">
      <w:start w:val="1"/>
      <w:numFmt w:val="bullet"/>
      <w:lvlText w:val=""/>
      <w:lvlJc w:val="left"/>
      <w:pPr>
        <w:ind w:left="2160" w:hanging="360"/>
      </w:pPr>
      <w:rPr>
        <w:rFonts w:hint="default" w:ascii="Wingdings" w:hAnsi="Wingdings"/>
      </w:rPr>
    </w:lvl>
    <w:lvl w:ilvl="3" w:tplc="0C090001" w:tentative="true">
      <w:start w:val="1"/>
      <w:numFmt w:val="bullet"/>
      <w:lvlText w:val=""/>
      <w:lvlJc w:val="left"/>
      <w:pPr>
        <w:ind w:left="2880" w:hanging="360"/>
      </w:pPr>
      <w:rPr>
        <w:rFonts w:hint="default" w:ascii="Symbol" w:hAnsi="Symbol"/>
      </w:rPr>
    </w:lvl>
    <w:lvl w:ilvl="4" w:tplc="0C090003" w:tentative="true">
      <w:start w:val="1"/>
      <w:numFmt w:val="bullet"/>
      <w:lvlText w:val="o"/>
      <w:lvlJc w:val="left"/>
      <w:pPr>
        <w:ind w:left="3600" w:hanging="360"/>
      </w:pPr>
      <w:rPr>
        <w:rFonts w:hint="default" w:ascii="Courier New" w:hAnsi="Courier New" w:cs="Courier New"/>
      </w:rPr>
    </w:lvl>
    <w:lvl w:ilvl="5" w:tplc="0C090005" w:tentative="true">
      <w:start w:val="1"/>
      <w:numFmt w:val="bullet"/>
      <w:lvlText w:val=""/>
      <w:lvlJc w:val="left"/>
      <w:pPr>
        <w:ind w:left="4320" w:hanging="360"/>
      </w:pPr>
      <w:rPr>
        <w:rFonts w:hint="default" w:ascii="Wingdings" w:hAnsi="Wingdings"/>
      </w:rPr>
    </w:lvl>
    <w:lvl w:ilvl="6" w:tplc="0C090001" w:tentative="true">
      <w:start w:val="1"/>
      <w:numFmt w:val="bullet"/>
      <w:lvlText w:val=""/>
      <w:lvlJc w:val="left"/>
      <w:pPr>
        <w:ind w:left="5040" w:hanging="360"/>
      </w:pPr>
      <w:rPr>
        <w:rFonts w:hint="default" w:ascii="Symbol" w:hAnsi="Symbol"/>
      </w:rPr>
    </w:lvl>
    <w:lvl w:ilvl="7" w:tplc="0C090003" w:tentative="true">
      <w:start w:val="1"/>
      <w:numFmt w:val="bullet"/>
      <w:lvlText w:val="o"/>
      <w:lvlJc w:val="left"/>
      <w:pPr>
        <w:ind w:left="5760" w:hanging="360"/>
      </w:pPr>
      <w:rPr>
        <w:rFonts w:hint="default" w:ascii="Courier New" w:hAnsi="Courier New" w:cs="Courier New"/>
      </w:rPr>
    </w:lvl>
    <w:lvl w:ilvl="8" w:tplc="0C090005" w:tentative="true">
      <w:start w:val="1"/>
      <w:numFmt w:val="bullet"/>
      <w:lvlText w:val=""/>
      <w:lvlJc w:val="left"/>
      <w:pPr>
        <w:ind w:left="6480" w:hanging="360"/>
      </w:pPr>
      <w:rPr>
        <w:rFonts w:hint="default" w:ascii="Wingdings" w:hAnsi="Wingdings"/>
      </w:rPr>
    </w:lvl>
  </w:abstractNum>
  <w:abstractNum w:abstractNumId="1">
    <w:nsid w:val="7E706046"/>
    <w:multiLevelType w:val="hybridMultilevel"/>
    <w:tmpl w:val="336E8F2C"/>
    <w:lvl w:ilvl="0" w:tplc="0C09000F">
      <w:start w:val="1"/>
      <w:numFmt w:val="decimal"/>
      <w:lvlText w:val="%1."/>
      <w:lvlJc w:val="left"/>
      <w:pPr>
        <w:ind w:left="720" w:hanging="360"/>
      </w:pPr>
    </w:lvl>
    <w:lvl w:ilvl="1" w:tplc="0C090019" w:tentative="true">
      <w:start w:val="1"/>
      <w:numFmt w:val="lowerLetter"/>
      <w:lvlText w:val="%2."/>
      <w:lvlJc w:val="left"/>
      <w:pPr>
        <w:ind w:left="1440" w:hanging="360"/>
      </w:pPr>
    </w:lvl>
    <w:lvl w:ilvl="2" w:tplc="0C09001B" w:tentative="true">
      <w:start w:val="1"/>
      <w:numFmt w:val="lowerRoman"/>
      <w:lvlText w:val="%3."/>
      <w:lvlJc w:val="right"/>
      <w:pPr>
        <w:ind w:left="2160" w:hanging="180"/>
      </w:pPr>
    </w:lvl>
    <w:lvl w:ilvl="3" w:tplc="0C09000F" w:tentative="true">
      <w:start w:val="1"/>
      <w:numFmt w:val="decimal"/>
      <w:lvlText w:val="%4."/>
      <w:lvlJc w:val="left"/>
      <w:pPr>
        <w:ind w:left="2880" w:hanging="360"/>
      </w:pPr>
    </w:lvl>
    <w:lvl w:ilvl="4" w:tplc="0C090019" w:tentative="true">
      <w:start w:val="1"/>
      <w:numFmt w:val="lowerLetter"/>
      <w:lvlText w:val="%5."/>
      <w:lvlJc w:val="left"/>
      <w:pPr>
        <w:ind w:left="3600" w:hanging="360"/>
      </w:pPr>
    </w:lvl>
    <w:lvl w:ilvl="5" w:tplc="0C09001B" w:tentative="true">
      <w:start w:val="1"/>
      <w:numFmt w:val="lowerRoman"/>
      <w:lvlText w:val="%6."/>
      <w:lvlJc w:val="right"/>
      <w:pPr>
        <w:ind w:left="4320" w:hanging="180"/>
      </w:pPr>
    </w:lvl>
    <w:lvl w:ilvl="6" w:tplc="0C09000F" w:tentative="true">
      <w:start w:val="1"/>
      <w:numFmt w:val="decimal"/>
      <w:lvlText w:val="%7."/>
      <w:lvlJc w:val="left"/>
      <w:pPr>
        <w:ind w:left="5040" w:hanging="360"/>
      </w:pPr>
    </w:lvl>
    <w:lvl w:ilvl="7" w:tplc="0C090019" w:tentative="true">
      <w:start w:val="1"/>
      <w:numFmt w:val="lowerLetter"/>
      <w:lvlText w:val="%8."/>
      <w:lvlJc w:val="left"/>
      <w:pPr>
        <w:ind w:left="5760" w:hanging="360"/>
      </w:pPr>
    </w:lvl>
    <w:lvl w:ilvl="8" w:tplc="0C09001B" w:tentative="true">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mc:Ignorable="">
  <w:compat>
    <w:compatSetting w:name="overrideTableStyleFontSizeAndJustification" w:uri="http://schemas.microsoft.com/office/word" w:val="1"/>
  </w:compat>
</w:settings>
</file>

<file path=word/styles.xml><?xml version="1.0" encoding="utf-8"?>
<w:styles xmlns:w="http://schemas.openxmlformats.org/wordprocessingml/2006/main" xmlns:w15="http://schemas.microsoft.com/office/word/2012/wordml" xmlns:w14="http://schemas.microsoft.com/office/word/2010/wordml" xmlns:r="http://schemas.openxmlformats.org/officeDocument/2006/relationships" xmlns:m="http://schemas.openxmlformats.org/officeDocument/2006/math" xmlns:wp="http://schemas.openxmlformats.org/drawingml/2006/wordprocessingDrawing" xmlns:a="http://schemas.openxmlformats.org/drawingml/2006/main" xmlns:wp14="http://schemas.microsoft.com/office/word/2010/wordprocessingDrawing" xmlns:mc="http://schemas.openxmlformats.org/markup-compatibility/2006" xmlns:sl="http://schemas.openxmlformats.org/schemaLibrary/2006/main" xmlns:wne="http://schemas.microsoft.com/office/word/2006/wordml" xmlns:c="http://schemas.openxmlformats.org/drawingml/2006/chart" xmlns:cdr="http://schemas.openxmlformats.org/drawingml/2006/chartDrawing" xmlns:c14="http://schemas.microsoft.com/office/drawing/2007/8/2/chart" xmlns:dgm="http://schemas.openxmlformats.org/drawingml/2006/diagram" xmlns:pic="http://schemas.openxmlformats.org/drawingml/2006/picture" xmlns:xdr="http://schemas.openxmlformats.org/drawingml/2006/spreadsheetDrawing" xmlns:dsp="http://schemas.microsoft.com/office/drawing/2008/diagram" xmlns:xvml="urn:schemas-microsoft-com:office:excel" xmlns:o="urn:schemas-microsoft-com:office:office" xmlns:v="urn:schemas-microsoft-com:vml" xmlns:w10="urn:schemas-microsoft-com:office:word" xmlns:pvml="urn:schemas-microsoft-com:office:powerpoint" xmlns:cppr="http://schemas.microsoft.com/office/2006/coverPageProps" xmlns:odx="http://opendope.org/xpaths" xmlns:odc="http://opendope.org/conditions" xmlns:odq="http://opendope.org/questions" xmlns:oda="http://opendope.org/answers" xmlns:odi="http://opendope.org/components" xmlns:odgm="http://opendope.org/SmartArt/DataHierarchy" xmlns:b="http://schemas.openxmlformats.org/officeDocument/2006/bibliography" xmlns:wps="http://schemas.microsoft.com/office/word/2010/wordprocessingShape" xmlns:w16se="http://schemas.microsoft.com/office/word/2015/wordml/symex" xmlns:w16cid="http://schemas.microsoft.com/office/word/2016/wordml/cid" xmlns:wetp="http://schemas.microsoft.com/office/webextensions/taskpanes/2010/11" xmlns:we="http://schemas.microsoft.com/office/webextensions/webextension/2010/11" xmlns:comp="http://schemas.openxmlformats.org/drawingml/2006/compatibility" xmlns:lc="http://schemas.openxmlformats.org/drawingml/2006/lockedCanvas">
  <w:docDefaults>
    <w:rPrDefault>
      <w:rPr>
        <w:rFonts w:asciiTheme="minorHAnsi" w:hAnsiTheme="minorHAnsi" w:eastAsiaTheme="minorHAnsi" w:cstheme="minorBidi"/>
        <w:sz w:val="22"/>
        <w:szCs w:val="22"/>
        <w:lang w:val="en-US" w:eastAsia="en-US" w:bidi="ar-SA"/>
      </w:rPr>
    </w:rPrDefault>
    <w:pPrDefault>
      <w:pPr>
        <w:spacing w:after="200" w:line="276" w:lineRule="auto"/>
      </w:pPr>
    </w:pPrDefault>
  </w:docDefaults>
  <w:latentStyles w:defLockedState="false" w:defUIPriority="99" w:defSemiHidden="true" w:defUnhideWhenUsed="true" w:defQFormat="false" w:count="267">
    <w:lsdException w:name="Normal" w:uiPriority="0" w:semiHidden="false" w:unhideWhenUsed="false" w:qFormat="true"/>
    <w:lsdException w:name="heading 1" w:uiPriority="9" w:semiHidden="false" w:unhideWhenUsed="false" w:qFormat="true"/>
    <w:lsdException w:name="heading 2" w:uiPriority="9" w:qFormat="true"/>
    <w:lsdException w:name="heading 3" w:uiPriority="9" w:qFormat="true"/>
    <w:lsdException w:name="heading 4" w:uiPriority="9" w:qFormat="true"/>
    <w:lsdException w:name="Title" w:uiPriority="10" w:semiHidden="false" w:unhideWhenUsed="false" w:qFormat="true"/>
    <w:lsdException w:name="Default Paragraph Font" w:uiPriority="1"/>
    <w:lsdException w:name="Subtitle" w:uiPriority="11" w:semiHidden="false" w:unhideWhenUsed="false" w:qFormat="true"/>
    <w:lsdException w:name="Emphasis" w:uiPriority="20" w:semiHidden="false" w:unhideWhenUsed="false" w:qFormat="true"/>
    <w:lsdException w:name="Table Grid" w:uiPriority="59" w:semiHidden="false" w:unhideWhenUsed="false"/>
  </w:latentStyles>
  <w:style w:type="paragraph" w:styleId="Normal" w:default="true">
    <w:name w:val="Normal"/>
    <w:qFormat/>
    <w:rsid w:val="004A3277"/>
  </w:style>
  <w:style w:type="paragraph" w:styleId="Heading1">
    <w:name w:val="heading 1"/>
    <w:basedOn w:val="Normal"/>
    <w:next w:val="Normal"/>
    <w:link w:val="Heading1Char"/>
    <w:uiPriority w:val="9"/>
    <w:qFormat/>
    <w:rsid w:val="00841CD9"/>
    <w:pPr>
      <w:keepNext/>
      <w:keepLines/>
      <w:spacing w:before="480"/>
      <w:outlineLvl w:val="0"/>
    </w:pPr>
    <w:rPr>
      <w:rFonts w:asciiTheme="majorHAnsi" w:hAnsiTheme="majorHAnsi" w:eastAsiaTheme="majorEastAsia"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41CD9"/>
    <w:pPr>
      <w:keepNext/>
      <w:keepLines/>
      <w:spacing w:before="200"/>
      <w:outlineLvl w:val="1"/>
    </w:pPr>
    <w:rPr>
      <w:rFonts w:asciiTheme="majorHAnsi" w:hAnsiTheme="majorHAnsi" w:eastAsiaTheme="majorEastAsia" w:cstheme="majorBidi"/>
      <w:b/>
      <w:bCs/>
      <w:color w:val="4F81BD" w:themeColor="accent1"/>
      <w:sz w:val="26"/>
      <w:szCs w:val="26"/>
    </w:rPr>
  </w:style>
  <w:style w:type="paragraph" w:styleId="Heading3">
    <w:name w:val="heading 3"/>
    <w:basedOn w:val="Normal"/>
    <w:next w:val="Normal"/>
    <w:link w:val="Heading3Char"/>
    <w:uiPriority w:val="9"/>
    <w:unhideWhenUsed/>
    <w:qFormat/>
    <w:rsid w:val="00841CD9"/>
    <w:pPr>
      <w:keepNext/>
      <w:keepLines/>
      <w:spacing w:before="200"/>
      <w:outlineLvl w:val="2"/>
    </w:pPr>
    <w:rPr>
      <w:rFonts w:asciiTheme="majorHAnsi" w:hAnsiTheme="majorHAnsi" w:eastAsiaTheme="majorEastAsia" w:cstheme="majorBidi"/>
      <w:b/>
      <w:bCs/>
      <w:color w:val="4F81BD" w:themeColor="accent1"/>
    </w:rPr>
  </w:style>
  <w:style w:type="paragraph" w:styleId="Heading4">
    <w:name w:val="heading 4"/>
    <w:basedOn w:val="Normal"/>
    <w:next w:val="Normal"/>
    <w:link w:val="Heading4Char"/>
    <w:uiPriority w:val="9"/>
    <w:unhideWhenUsed/>
    <w:qFormat/>
    <w:rsid w:val="00841CD9"/>
    <w:pPr>
      <w:keepNext/>
      <w:keepLines/>
      <w:spacing w:before="200"/>
      <w:outlineLvl w:val="3"/>
    </w:pPr>
    <w:rPr>
      <w:rFonts w:asciiTheme="majorHAnsi" w:hAnsiTheme="majorHAnsi" w:eastAsiaTheme="majorEastAsia" w:cstheme="majorBidi"/>
      <w:b/>
      <w:bCs/>
      <w:i/>
      <w:iCs/>
      <w:color w:val="4F81BD" w:themeColor="accent1"/>
    </w:rPr>
  </w:style>
  <w:style w:type="character" w:styleId="DefaultParagraphFont" w:default="true">
    <w:name w:val="Default Paragraph Font"/>
    <w:uiPriority w:val="1"/>
    <w:semiHidden/>
    <w:unhideWhenUsed/>
  </w:style>
  <w:style w:type="paragraph" w:styleId="Header">
    <w:name w:val="header"/>
    <w:basedOn w:val="Normal"/>
    <w:link w:val="HeaderChar"/>
    <w:uiPriority w:val="99"/>
    <w:unhideWhenUsed/>
    <w:rsid w:val="00841CD9"/>
    <w:pPr>
      <w:tabs>
        <w:tab w:val="center" w:pos="4680"/>
        <w:tab w:val="right" w:pos="9360"/>
      </w:tabs>
    </w:pPr>
  </w:style>
  <w:style w:type="character" w:styleId="HeaderChar" w:customStyle="true">
    <w:name w:val="Header Char"/>
    <w:basedOn w:val="DefaultParagraphFont"/>
    <w:link w:val="Header"/>
    <w:uiPriority w:val="99"/>
    <w:rsid w:val="00841CD9"/>
  </w:style>
  <w:style w:type="character" w:styleId="Heading1Char" w:customStyle="true">
    <w:name w:val="Heading 1 Char"/>
    <w:basedOn w:val="DefaultParagraphFont"/>
    <w:link w:val="Heading1"/>
    <w:uiPriority w:val="9"/>
    <w:rsid w:val="00841CD9"/>
    <w:rPr>
      <w:rFonts w:asciiTheme="majorHAnsi" w:hAnsiTheme="majorHAnsi" w:eastAsiaTheme="majorEastAsia" w:cstheme="majorBidi"/>
      <w:b/>
      <w:bCs/>
      <w:color w:val="365F91" w:themeColor="accent1" w:themeShade="BF"/>
      <w:sz w:val="28"/>
      <w:szCs w:val="28"/>
    </w:rPr>
  </w:style>
  <w:style w:type="character" w:styleId="Heading2Char" w:customStyle="true">
    <w:name w:val="Heading 2 Char"/>
    <w:basedOn w:val="DefaultParagraphFont"/>
    <w:link w:val="Heading2"/>
    <w:uiPriority w:val="9"/>
    <w:rsid w:val="00841CD9"/>
    <w:rPr>
      <w:rFonts w:asciiTheme="majorHAnsi" w:hAnsiTheme="majorHAnsi" w:eastAsiaTheme="majorEastAsia" w:cstheme="majorBidi"/>
      <w:b/>
      <w:bCs/>
      <w:color w:val="4F81BD" w:themeColor="accent1"/>
      <w:sz w:val="26"/>
      <w:szCs w:val="26"/>
    </w:rPr>
  </w:style>
  <w:style w:type="character" w:styleId="Heading3Char" w:customStyle="true">
    <w:name w:val="Heading 3 Char"/>
    <w:basedOn w:val="DefaultParagraphFont"/>
    <w:link w:val="Heading3"/>
    <w:uiPriority w:val="9"/>
    <w:rsid w:val="00841CD9"/>
    <w:rPr>
      <w:rFonts w:asciiTheme="majorHAnsi" w:hAnsiTheme="majorHAnsi" w:eastAsiaTheme="majorEastAsia" w:cstheme="majorBidi"/>
      <w:b/>
      <w:bCs/>
      <w:color w:val="4F81BD" w:themeColor="accent1"/>
    </w:rPr>
  </w:style>
  <w:style w:type="character" w:styleId="Heading4Char" w:customStyle="true">
    <w:name w:val="Heading 4 Char"/>
    <w:basedOn w:val="DefaultParagraphFont"/>
    <w:link w:val="Heading4"/>
    <w:uiPriority w:val="9"/>
    <w:rsid w:val="00841CD9"/>
    <w:rPr>
      <w:rFonts w:asciiTheme="majorHAnsi" w:hAnsiTheme="majorHAnsi" w:eastAsiaTheme="majorEastAsia" w:cstheme="majorBidi"/>
      <w:b/>
      <w:bCs/>
      <w:i/>
      <w:iCs/>
      <w:color w:val="4F81BD" w:themeColor="accent1"/>
    </w:rPr>
  </w:style>
  <w:style w:type="paragraph" w:styleId="NormalIndent">
    <w:name w:val="Normal Indent"/>
    <w:basedOn w:val="Normal"/>
    <w:uiPriority w:val="99"/>
    <w:unhideWhenUsed/>
    <w:rsid w:val="00841CD9"/>
    <w:pPr>
      <w:ind w:left="720"/>
    </w:pPr>
  </w:style>
  <w:style w:type="paragraph" w:styleId="Subtitle">
    <w:name w:val="Subtitle"/>
    <w:basedOn w:val="Normal"/>
    <w:next w:val="Normal"/>
    <w:link w:val="SubtitleChar"/>
    <w:uiPriority w:val="11"/>
    <w:qFormat/>
    <w:rsid w:val="00841CD9"/>
    <w:pPr>
      <w:numPr>
        <w:ilvl w:val="1"/>
      </w:numPr>
      <w:ind w:left="86"/>
    </w:pPr>
    <w:rPr>
      <w:rFonts w:asciiTheme="majorHAnsi" w:hAnsiTheme="majorHAnsi" w:eastAsiaTheme="majorEastAsia" w:cstheme="majorBidi"/>
      <w:i/>
      <w:iCs/>
      <w:color w:val="4F81BD" w:themeColor="accent1"/>
      <w:spacing w:val="15"/>
      <w:sz w:val="24"/>
      <w:szCs w:val="24"/>
    </w:rPr>
  </w:style>
  <w:style w:type="character" w:styleId="SubtitleChar" w:customStyle="true">
    <w:name w:val="Subtitle Char"/>
    <w:basedOn w:val="DefaultParagraphFont"/>
    <w:link w:val="Subtitle"/>
    <w:uiPriority w:val="11"/>
    <w:rsid w:val="00841CD9"/>
    <w:rPr>
      <w:rFonts w:asciiTheme="majorHAnsi" w:hAnsiTheme="majorHAnsi" w:eastAsiaTheme="majorEastAsia" w:cstheme="majorBidi"/>
      <w:i/>
      <w:iCs/>
      <w:color w:val="4F81BD" w:themeColor="accent1"/>
      <w:spacing w:val="15"/>
      <w:sz w:val="24"/>
      <w:szCs w:val="24"/>
    </w:rPr>
  </w:style>
  <w:style w:type="paragraph" w:styleId="Title">
    <w:name w:val="Title"/>
    <w:basedOn w:val="Normal"/>
    <w:next w:val="Normal"/>
    <w:link w:val="TitleChar"/>
    <w:uiPriority w:val="10"/>
    <w:qFormat/>
    <w:rsid w:val="00841CD9"/>
    <w:pPr>
      <w:pBdr>
        <w:bottom w:val="single" w:color="4F81BD" w:themeColor="accent1" w:sz="8" w:space="4"/>
      </w:pBdr>
      <w:spacing w:after="300"/>
      <w:contextualSpacing/>
    </w:pPr>
    <w:rPr>
      <w:rFonts w:asciiTheme="majorHAnsi" w:hAnsiTheme="majorHAnsi" w:eastAsiaTheme="majorEastAsia" w:cstheme="majorBidi"/>
      <w:color w:val="17365D" w:themeColor="text2" w:themeShade="BF"/>
      <w:spacing w:val="5"/>
      <w:kern w:val="28"/>
      <w:sz w:val="52"/>
      <w:szCs w:val="52"/>
    </w:rPr>
  </w:style>
  <w:style w:type="character" w:styleId="TitleChar" w:customStyle="true">
    <w:name w:val="Title Char"/>
    <w:basedOn w:val="DefaultParagraphFont"/>
    <w:link w:val="Title"/>
    <w:uiPriority w:val="10"/>
    <w:rsid w:val="00841CD9"/>
    <w:rPr>
      <w:rFonts w:asciiTheme="majorHAnsi" w:hAnsiTheme="majorHAnsi" w:eastAsiaTheme="majorEastAsia" w:cstheme="majorBidi"/>
      <w:color w:val="17365D" w:themeColor="text2" w:themeShade="BF"/>
      <w:spacing w:val="5"/>
      <w:kern w:val="28"/>
      <w:sz w:val="52"/>
      <w:szCs w:val="52"/>
    </w:rPr>
  </w:style>
  <w:style w:type="character" w:styleId="Emphasis">
    <w:name w:val="Emphasis"/>
    <w:basedOn w:val="DefaultParagraphFont"/>
    <w:uiPriority w:val="20"/>
    <w:qFormat/>
    <w:rsid w:val="00D1197D"/>
    <w:rPr>
      <w:i/>
      <w:iCs/>
    </w:rPr>
  </w:style>
  <w:style w:type="character" w:styleId="Hyperlink">
    <w:name w:val="Hyperlink"/>
    <w:basedOn w:val="DefaultParagraphFont"/>
    <w:uiPriority w:val="99"/>
    <w:unhideWhenUsed/>
    <w:rPr>
      <w:color w:val="0000FF" w:themeColor="hyperlink"/>
      <w:u w:val="single"/>
    </w:rPr>
  </w:style>
  <w:style w:type="table" w:styleId="TableGrid">
    <w:name w:val="Table Grid"/>
    <w:basedOn w:val="TableNormal"/>
    <w:uiPriority w:val="59"/>
    <w:pPr>
      <w:spacing w:after="0" w:line="240" w:lineRule="auto"/>
    </w:pPr>
    <w:tblPr>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insideV w:val="single" w:color="000000" w:themeColor="text1" w:sz="4" w:space="0"/>
      </w:tblBorders>
      <w:tblCellMar>
        <w:top w:w="0" w:type="dxa"/>
        <w:left w:w="108" w:type="dxa"/>
        <w:bottom w:w="0" w:type="dxa"/>
        <w:right w:w="108" w:type="dxa"/>
      </w:tblCellMar>
    </w:tblPr>
  </w:style>
  <w:style w:type="table" w:styleId="TableNormal" w:default="true">
    <w:name w:val="Normal Table"/>
    <w:uiPriority w:val="99"/>
    <w:semiHidden/>
    <w:unhideWhenUsed/>
    <w:qFormat/>
    <w:tblPr>
      <w:tblInd w:w="0" w:type="dxa"/>
      <w:tblCellMar>
        <w:top w:w="0" w:type="dxa"/>
        <w:left w:w="108" w:type="dxa"/>
        <w:bottom w:w="0" w:type="dxa"/>
        <w:right w:w="108" w:type="dxa"/>
      </w:tblCellMar>
    </w:tblPr>
  </w:style>
  <w:style w:type="paragraph" w:styleId="Caption">
    <w:name w:val="caption"/>
    <w:basedOn w:val="Normal"/>
    <w:next w:val="Normal"/>
    <w:uiPriority w:val="35"/>
    <w:semiHidden/>
    <w:unhideWhenUsed/>
    <w:qFormat/>
    <w:rsid w:val="007109C0"/>
    <w:pPr>
      <w:spacing w:line="240" w:lineRule="auto"/>
    </w:pPr>
    <w:rPr>
      <w:b/>
      <w:bCs/>
      <w:color w:val="4F81BD" w:themeColor="accent1"/>
      <w:sz w:val="18"/>
      <w:szCs w:val="18"/>
    </w:rPr>
  </w:style>
</w:styles>
</file>

<file path=word/_rels/document.xml.rels><?xml version="1.0" encoding="UTF-8" standalone="yes"?>
<Relationships xmlns="http://schemas.openxmlformats.org/package/2006/relationships">
    <Relationship Target="styles.xml" Type="http://schemas.openxmlformats.org/officeDocument/2006/relationships/styles" Id="rId1"/>
    <Relationship Target="settings.xml" Type="http://schemas.openxmlformats.org/officeDocument/2006/relationships/settings" Id="rId2"/>
    <Relationship Target="numbering.xml" Type="http://schemas.openxmlformats.org/officeDocument/2006/relationships/numbering" Id="rId3"/>
    <Relationship TargetMode="External" Target="http://www.esd.whs.mil/Portals/54/Documents/DD/forms/dd/dd0882.pdf" Type="http://schemas.openxmlformats.org/officeDocument/2006/relationships/hyperlink" Id="rId4"/>
    <Relationship TargetMode="External" Target="SMC_PGI_5327_304_90.dita#AFFARS_SMC_PGI_5327_304_90" Type="http://schemas.openxmlformats.org/officeDocument/2006/relationships/hyperlink" Id="rId5"/>
    <Relationship TargetMode="External" Target="AFMC_PGI_5327_7102_2.dita#AFFARS_AFMC_PGI_5327_7102_2" Type="http://schemas.openxmlformats.org/officeDocument/2006/relationships/hyperlink" Id="rId6"/>
</Relationships>

</file>

<file path=docProps/app.xml><?xml version="1.0" encoding="utf-8"?>
<properties:Properties xmlns:propertie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terms="http://purl.org/dc/terms/" xmlns:dc="http://purl.org/dc/elements/1.1/"/>
</file>