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**ID__AFFARS_5332_topic_3__ID**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5332.104</w:t>
      </w:r>
      <w:r>
        <w:rPr>
          <w:rFonts w:ascii="Times New Roman" w:hAnsi="Times New Roman"/>
          <w:color w:val="000000"/>
          <w:sz w:val="31"/>
        </w:rPr>
        <w:t xml:space="preserve"> Providing Contract Financing</w:t>
      </w:r>
    </w:p>
    <w:p>
      <w:pPr>
        <w:pBdr>
          <w:top w:space="5"/>
          <w:left w:space="5"/>
          <w:bottom w:space="5"/>
          <w:right w:space="5"/>
        </w:pBdr>
        <w:spacing w:after="0"/>
        <w:ind w:left="225"/>
        <w:jc w:val="left"/>
      </w:pPr>
      <w:r>
        <w:rPr>
          <w:rFonts w:ascii="Times New Roman" w:hAnsi="Times New Roman"/>
          <w:b w:val="false"/>
          <w:i w:val="false"/>
          <w:color w:val="000000"/>
          <w:sz w:val="22"/>
        </w:rPr>
        <w:t xml:space="preserve">(a)(5) Report known adverse developments affecting a contractor or subcontractor to the contract administration office, other interested Government parties, and the SCO. If there is an adverse development affecting a contractor receiving a bank loan guaranteed by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to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SAF/FMF</w:t>
        </w:r>
      </w:hyperlink>
      <w:r>
        <w:rPr>
          <w:rFonts w:ascii="Times New Roman" w:hAnsi="Times New Roman"/>
          <w:b w:val="false"/>
          <w:i w:val="false"/>
          <w:color w:val="000000"/>
          <w:sz w:val="22"/>
        </w:rPr>
        <w:t xml:space="preserve"> no later than 30 days before the needed effective date of the proposed financing arrangement.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AQ.SAF-AQC.Workflow@us.af.mil" Type="http://schemas.openxmlformats.org/officeDocument/2006/relationships/hyperlink" Id="rId5"/>
    <Relationship TargetMode="External" Target="mailto:SAF.FMF.Workflow@us.af.mi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