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**ID__AFFARS_5332_topic_5__ID**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5332.202-1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Authorization</w:t>
      </w:r>
      <w:r>
        <w:rPr>
          <w:rFonts w:ascii="Times New Roman" w:hAnsi="Times New Roman"/>
          <w:b w:val="false"/>
          <w:i w:val="false"/>
          <w:color w:val="000000"/>
          <w:sz w:val="22"/>
        </w:rPr>
        <w:t>. 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applicable circumstances outlined in FAR 32.202-1(b) have been met to include the contracting officer’s determination in accordance with FAR 32.202-1(b)(3) and preliminary payment office concurrence with liquidation provisions per 32.202-1(b)(8) when required by FAR 32.206(e), legal review, J&amp;A (if applicable), background paper such as a Milestone Payment Plan that outlines the reason(s) for the request, and the proposed payment schedule. Submit a copy of the approved package to SAF/AQC.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See </w:t>
      </w:r>
      <w:hyperlink r:id="rId4">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P5301_601.dita#AFFARS_MP5301.60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