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**ID__AFFARS_5301_9102__ID**</w:t>
      </w:r>
    </w:p>
    <w:p>
      <w:pPr>
        <w:pStyle w:val="Heading3"/>
        <w:spacing w:after="199"/>
        <w:ind w:left="120"/>
        <w:jc w:val="left"/>
      </w:pPr>
      <w:r>
        <w:rPr>
          <w:rFonts w:ascii="Times New Roman" w:hAnsi="Times New Roman"/>
          <w:color w:val="000000"/>
          <w:sz w:val="31"/>
        </w:rPr>
        <w:t>5301.9102</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 MAJCOM/DRU/AFRCO/SMC/SpRCO Commanders must appoint an experienced senior official who is independent of the contracting officer and program manager as the ombudsman at their organization. For AFMC Centers, an ombudsman is required at each Center, instead of at the MAJCOM. Centers may also have an ombudsman at each Operating Location/Geographically Separated Unit.</w:t>
      </w:r>
    </w:p>
    <w:p>
      <w:pPr>
        <w:pBdr>
          <w:top w:space="5"/>
          <w:left w:space="5"/>
          <w:bottom w:space="5"/>
          <w:right w:space="5"/>
        </w:pBdr>
        <w:spacing w:after="0"/>
        <w:ind w:left="225"/>
        <w:jc w:val="left"/>
      </w:pPr>
      <w:r>
        <w:rPr>
          <w:rFonts w:ascii="Times New Roman" w:hAnsi="Times New Roman"/>
          <w:b w:val="false"/>
          <w:i w:val="false"/>
          <w:color w:val="000000"/>
          <w:sz w:val="22"/>
        </w:rPr>
        <w:t>(b) The ombudsman will have the authority to call upon other resources of the activity to assist in resolving acquisition issues or concerns (e.g., administrative support, independent review teams).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must identify the ombudsman in the initial announcement of the acquisition as well as in the draft and final RFP.</w:t>
      </w:r>
    </w:p>
    <w:p>
      <w:pPr>
        <w:pBdr>
          <w:top w:space="5"/>
          <w:left w:space="5"/>
          <w:bottom w:space="5"/>
          <w:right w:space="5"/>
        </w:pBdr>
        <w:spacing w:after="0"/>
        <w:ind w:left="225"/>
        <w:jc w:val="left"/>
      </w:pPr>
      <w:r>
        <w:rPr>
          <w:rFonts w:ascii="Times New Roman" w:hAnsi="Times New Roman"/>
          <w:b w:val="false"/>
          <w:i w:val="false"/>
          <w:color w:val="000000"/>
          <w:sz w:val="22"/>
        </w:rPr>
        <w:t>(d) The ombudsman must:</w:t>
      </w:r>
    </w:p>
    <w:p>
      <w:pPr>
        <w:pBdr>
          <w:top w:space="5"/>
          <w:left w:space="5"/>
          <w:bottom w:space="5"/>
          <w:right w:space="5"/>
        </w:pBdr>
        <w:spacing w:after="0"/>
        <w:ind w:left="585"/>
        <w:jc w:val="left"/>
      </w:pPr>
      <w:r>
        <w:rPr>
          <w:rFonts w:ascii="Times New Roman" w:hAnsi="Times New Roman"/>
          <w:b w:val="false"/>
          <w:i w:val="false"/>
          <w:color w:val="000000"/>
          <w:sz w:val="22"/>
        </w:rPr>
        <w:t>(1) Support acquisition personnel in the resolution of issues or concerns raised by interested parties;</w:t>
      </w:r>
    </w:p>
    <w:p>
      <w:pPr>
        <w:pBdr>
          <w:top w:space="5"/>
          <w:left w:space="5"/>
          <w:bottom w:space="5"/>
          <w:right w:space="5"/>
        </w:pBdr>
        <w:spacing w:after="0"/>
        <w:ind w:left="585"/>
        <w:jc w:val="left"/>
      </w:pPr>
      <w:r>
        <w:rPr>
          <w:rFonts w:ascii="Times New Roman" w:hAnsi="Times New Roman"/>
          <w:b w:val="false"/>
          <w:i w:val="false"/>
          <w:color w:val="000000"/>
          <w:sz w:val="22"/>
        </w:rPr>
        <w:t>(2) Act in a manner that does not compromise the interested party and, if requested, maintain anonymity of the parties;</w:t>
      </w:r>
    </w:p>
    <w:p>
      <w:pPr>
        <w:pBdr>
          <w:top w:space="5"/>
          <w:left w:space="5"/>
          <w:bottom w:space="5"/>
          <w:right w:space="5"/>
        </w:pBdr>
        <w:spacing w:after="0"/>
        <w:ind w:left="585"/>
        <w:jc w:val="left"/>
      </w:pPr>
      <w:r>
        <w:rPr>
          <w:rFonts w:ascii="Times New Roman" w:hAnsi="Times New Roman"/>
          <w:b w:val="false"/>
          <w:i w:val="false"/>
          <w:color w:val="000000"/>
          <w:sz w:val="22"/>
        </w:rPr>
        <w:t>(3) Avoid any appearance of usurping normal procurement authority (e.g., program manager, contracting officer, and source selection authority);</w:t>
      </w:r>
    </w:p>
    <w:p>
      <w:pPr>
        <w:pBdr>
          <w:top w:space="5"/>
          <w:left w:space="5"/>
          <w:bottom w:space="5"/>
          <w:right w:space="5"/>
        </w:pBdr>
        <w:spacing w:after="0"/>
        <w:ind w:left="585"/>
        <w:jc w:val="left"/>
      </w:pPr>
      <w:r>
        <w:rPr>
          <w:rFonts w:ascii="Times New Roman" w:hAnsi="Times New Roman"/>
          <w:b w:val="false"/>
          <w:i w:val="false"/>
          <w:color w:val="000000"/>
          <w:sz w:val="22"/>
        </w:rPr>
        <w:t>(4) Ensure all affected or knowledgeable offices and officials are consulted as part of any resolution process;</w:t>
      </w:r>
    </w:p>
    <w:p>
      <w:pPr>
        <w:pBdr>
          <w:top w:space="5"/>
          <w:left w:space="5"/>
          <w:bottom w:space="5"/>
          <w:right w:space="5"/>
        </w:pBdr>
        <w:spacing w:after="0"/>
        <w:ind w:left="585"/>
        <w:jc w:val="left"/>
      </w:pPr>
      <w:r>
        <w:rPr>
          <w:rFonts w:ascii="Times New Roman" w:hAnsi="Times New Roman"/>
          <w:b w:val="false"/>
          <w:i w:val="false"/>
          <w:color w:val="000000"/>
          <w:sz w:val="22"/>
        </w:rPr>
        <w:t>(5) Inform the Commander/Director, or PEO, as required, of issues raised and actions taken;</w:t>
      </w:r>
    </w:p>
    <w:p>
      <w:pPr>
        <w:pBdr>
          <w:top w:space="5"/>
          <w:left w:space="5"/>
          <w:bottom w:space="5"/>
          <w:right w:space="5"/>
        </w:pBdr>
        <w:spacing w:after="0"/>
        <w:ind w:left="585"/>
        <w:jc w:val="left"/>
      </w:pPr>
      <w:r>
        <w:rPr>
          <w:rFonts w:ascii="Times New Roman" w:hAnsi="Times New Roman"/>
          <w:b w:val="false"/>
          <w:i w:val="false"/>
          <w:color w:val="000000"/>
          <w:sz w:val="22"/>
        </w:rPr>
        <w:t>(6) Review complaints relative to multiple-award task and delivery order contracts awarded under 10 U.S.C. 2304a(d)(1)(B) or 2304b(e) to ensure that all contractors are afforded a fair opportunity to be considered for task and delivery orders in excess of the micro-purchase threshold, consistent with the procedures in the contract;</w:t>
      </w:r>
    </w:p>
    <w:p>
      <w:pPr>
        <w:pBdr>
          <w:top w:space="5"/>
          <w:left w:space="5"/>
          <w:bottom w:space="5"/>
          <w:right w:space="5"/>
        </w:pBdr>
        <w:spacing w:after="0"/>
        <w:ind w:left="585"/>
        <w:jc w:val="left"/>
      </w:pPr>
      <w:r>
        <w:rPr>
          <w:rFonts w:ascii="Times New Roman" w:hAnsi="Times New Roman"/>
          <w:b w:val="false"/>
          <w:i w:val="false"/>
          <w:color w:val="000000"/>
          <w:sz w:val="22"/>
        </w:rPr>
        <w:t>(7) 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pPr>
        <w:pBdr>
          <w:top w:space="5"/>
          <w:left w:space="5"/>
          <w:bottom w:space="5"/>
          <w:right w:space="5"/>
        </w:pBdr>
        <w:spacing w:after="0"/>
        <w:ind w:left="225"/>
        <w:jc w:val="left"/>
      </w:pPr>
      <w:r>
        <w:rPr>
          <w:rFonts w:ascii="Times New Roman" w:hAnsi="Times New Roman"/>
          <w:b w:val="false"/>
          <w:i w:val="false"/>
          <w:color w:val="000000"/>
          <w:sz w:val="22"/>
        </w:rPr>
        <w:t>(e) The Ombudsman Program does not replace the agency level protest, GAO bid protest or disputes processes.</w:t>
      </w:r>
    </w:p>
    <w:p>
      <w:pPr>
        <w:pBdr>
          <w:top w:space="5"/>
          <w:left w:space="5"/>
          <w:bottom w:space="5"/>
          <w:right w:space="5"/>
        </w:pBdr>
        <w:spacing w:after="0"/>
        <w:ind w:left="225"/>
        <w:jc w:val="left"/>
      </w:pPr>
      <w:r>
        <w:rPr>
          <w:rFonts w:ascii="Times New Roman" w:hAnsi="Times New Roman"/>
          <w:b w:val="false"/>
          <w:i w:val="false"/>
          <w:color w:val="000000"/>
          <w:sz w:val="22"/>
        </w:rPr>
        <w:t xml:space="preserve">(f) The Air Force ombudsman is the ADAS(C), who may take action to assist in resolving issues, concerns, disagreements, and recommendations that cannot be resolved at the MAJCOM/DRU/SMC level, or for those having Air Force wide implications. The ADAS(C) is the AF ombudsman for procurement integrity issues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OUSD(AT&amp;L)/DPAP memo, 1 Oct 09</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Government personnel may use the Ombudsman Program as a way to express concerns about an acquisition.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5">
        <w:r>
          <w:rPr>
            <w:rStyle w:val="Hyperlink"/>
            <w:rFonts w:ascii="Times New Roman" w:hAnsi="Times New Roman"/>
            <w:b w:val="false"/>
            <w:i w:val="false"/>
            <w:color w:val="0000ff"/>
            <w:sz w:val="22"/>
            <w:u w:val="single"/>
          </w:rPr>
          <w:t>AFICC PGI 5301.9102</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6">
        <w:r>
          <w:rPr>
            <w:rStyle w:val="Hyperlink"/>
            <w:rFonts w:ascii="Times New Roman" w:hAnsi="Times New Roman"/>
            <w:b w:val="false"/>
            <w:i w:val="false"/>
            <w:color w:val="0000ff"/>
            <w:sz w:val="22"/>
            <w:u w:val="single"/>
          </w:rPr>
          <w:t>AFMC PGI 5301.91</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7">
        <w:r>
          <w:rPr>
            <w:rStyle w:val="Hyperlink"/>
            <w:rFonts w:ascii="Times New Roman" w:hAnsi="Times New Roman"/>
            <w:b w:val="false"/>
            <w:i w:val="false"/>
            <w:color w:val="0000ff"/>
            <w:sz w:val="22"/>
            <w:u w:val="single"/>
          </w:rPr>
          <w:t>USAFA PGI 5301-9102 (a)</w:t>
        </w:r>
      </w:hyperlink>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osd.mil/dpap/policy/policyvault/USA004579-09-DPAP.pdf" Type="http://schemas.openxmlformats.org/officeDocument/2006/relationships/hyperlink" Id="rId4"/>
    <Relationship TargetMode="External" Target="AFICC_PGI_5301_9102.dita#AFFARS_AFICC_PGI_5301_9102" Type="http://schemas.openxmlformats.org/officeDocument/2006/relationships/hyperlink" Id="rId5"/>
    <Relationship TargetMode="External" Target="AFMC_PGI_5301_91.dita#AFFARS_AFMC_PGI_5301_91" Type="http://schemas.openxmlformats.org/officeDocument/2006/relationships/hyperlink" Id="rId6"/>
    <Relationship TargetMode="External" Target="USAFA_PGI_5301_9102.dita#AFFARS_USAFA_PGI_5301_9102"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