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**ID__AFFARS_5332_topic_15__ID**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5332.703-2</w:t>
      </w:r>
      <w:r>
        <w:rPr>
          <w:rFonts w:ascii="Times New Roman" w:hAnsi="Times New Roman"/>
          <w:color w:val="000000"/>
          <w:sz w:val="31"/>
        </w:rPr>
        <w:t xml:space="preserve"> Contracts Conditioned Upon Availability of Funds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Fiscal year contracts.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MP5332.7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on contract funding. See DFARS 204.7103 for guidance on considering severability when forming contracts and determining contract funding.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5332.703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5332.703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5332.703-2-90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32_7.dita#AFFARS_mp_5332_7_topic_1" Type="http://schemas.openxmlformats.org/officeDocument/2006/relationships/hyperlink" Id="rId4"/>
    <Relationship TargetMode="External" Target="AFMC_PGI_5332_703.dita#AFFARS_pgi_5332_topic_6" Type="http://schemas.openxmlformats.org/officeDocument/2006/relationships/hyperlink" Id="rId5"/>
    <Relationship TargetMode="External" Target="SMC_PGI_5332_703.dita#AFFARS_pgi_5332_topic_8" Type="http://schemas.openxmlformats.org/officeDocument/2006/relationships/hyperlink" Id="rId6"/>
    <Relationship TargetMode="External" Target="SMC_PGI_5332_703_2_90.dita#AFFARS_pgi_5332_topic_9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