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5333.104</w:t>
      </w:r>
      <w:r>
        <w:rPr>
          <w:rFonts w:ascii="Times New Roman" w:hAnsi="Times New Roman"/>
          <w:color w:val="000000"/>
          <w:sz w:val="31"/>
        </w:rPr>
        <w:t xml:space="preserve"> Protests to GAO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Air Force Commercial Litigation Field Support Center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serves as agency counsel before the GAO and defends Air Force interests (see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MP5333.104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)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Protests before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Forward the determination and finding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and, for approval,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within seven days of the protest notification to SAF/AQC (see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Protests after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Forward the determination and finding through the SCO to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and, for approval, to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within seven days of the protest notification to SAF/AQC (see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</w:t>
      </w:r>
      <w:r>
        <w:rPr>
          <w:rFonts w:ascii="Times New Roman" w:hAnsi="Times New Roman"/>
          <w:b w:val="false"/>
          <w:i/>
          <w:color w:val="000000"/>
          <w:sz w:val="22"/>
        </w:rPr>
        <w:t>Notice to GAO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Forward the report through the SCO to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to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signature and submission to GAO within fifty-five days of date of receipt of the GAO recommendations (see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    <Relationship TargetMode="External" Target="mailto:AF.JACQ.ContractLaw.FieldSupportCntr.Mbx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    <Relationship TargetMode="External" Target="MP5301_601.dita#AFFARS_MP5301.601" Type="http://schemas.openxmlformats.org/officeDocument/2006/relationships/hyperlink" Id="rId7"/>
    <Relationship TargetMode="External" Target="mailto:AF.JACQ.ContractLaw.FieldSupportCntr.Mbx@us.af.mil" Type="http://schemas.openxmlformats.org/officeDocument/2006/relationships/hyperlink" Id="rId8"/>
    <Relationship TargetMode="External" Target="mailto:SAF.AQ.SAF-AQC.Workflow@us.af.mil" Type="http://schemas.openxmlformats.org/officeDocument/2006/relationships/hyperlink" Id="rId9"/>
    <Relationship TargetMode="External" Target="MP5301_601.dita#AFFARS_MP5301.601" Type="http://schemas.openxmlformats.org/officeDocument/2006/relationships/hyperlink" Id="rId10"/>
    <Relationship TargetMode="External" Target="mailto:AF.JACQ.ContractLaw.FieldSupportCntr.Mbx@us.af.mil" Type="http://schemas.openxmlformats.org/officeDocument/2006/relationships/hyperlink" Id="rId11"/>
    <Relationship TargetMode="External" Target="mailto:SAF.AQ.SAF-AQC.Workflow@us.af.mil" Type="http://schemas.openxmlformats.org/officeDocument/2006/relationships/hyperlink" Id="rId12"/>
    <Relationship TargetMode="External" Target="MP5301_601.dita#AFFARS_MP5301.601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