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**ID__AFFARS_5333_topic_10__ID**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5333.214</w:t>
      </w:r>
      <w:r>
        <w:rPr>
          <w:rFonts w:ascii="Times New Roman" w:hAnsi="Times New Roman"/>
          <w:color w:val="000000"/>
          <w:sz w:val="31"/>
        </w:rPr>
        <w:t xml:space="preserve"> Alternate Dispute Resolution (ADR)</w:t>
      </w:r>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af_a3_5/publication/afpd51-12/afpd51-12.pdf" Type="http://schemas.openxmlformats.org/officeDocument/2006/relationships/hyperlink" Id="rId4"/>
    <Relationship TargetMode="External" Target="http://uscode.house.gov/view.xhtml?req=granuleid:USC-prelim-title5-section572&amp;num=0&amp;edition=prelim" Type="http://schemas.openxmlformats.org/officeDocument/2006/relationships/hyperlink" Id="rId5"/>
    <Relationship TargetMode="External" Target="mailto:SAF.GCR.Workflow@us.af.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