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**ID__AFFARS_5333_214__ID**</w:t>
      </w:r>
    </w:p>
    <w:p>
      <w:pPr>
        <w:pStyle w:val="Heading3"/>
        <w:spacing w:after="199"/>
        <w:ind w:left="120"/>
        <w:jc w:val="left"/>
      </w:pPr>
      <w:r>
        <w:rPr>
          <w:rFonts w:ascii="Times New Roman" w:hAnsi="Times New Roman"/>
          <w:color w:val="000000"/>
          <w:sz w:val="31"/>
        </w:rPr>
        <w:t>5333.214</w:t>
      </w:r>
      <w:r>
        <w:rPr>
          <w:rFonts w:ascii="Times New Roman" w:hAnsi="Times New Roman"/>
          <w:color w:val="000000"/>
          <w:sz w:val="31"/>
        </w:rPr>
        <w:t xml:space="preserve"> Alternate Dispute Resolution (ADR)</w:t>
      </w:r>
    </w:p>
    <w:p>
      <w:pPr>
        <w:pBdr>
          <w:top w:space="5"/>
          <w:left w:space="5"/>
          <w:bottom w:space="5"/>
          <w:right w:space="5"/>
        </w:pBdr>
        <w:spacing w:after="0"/>
        <w:ind w:left="225"/>
        <w:jc w:val="left"/>
      </w:pPr>
      <w:r>
        <w:rPr>
          <w:rFonts w:ascii="Times New Roman" w:hAnsi="Times New Roman"/>
          <w:b w:val="false"/>
          <w:i w:val="false"/>
          <w:color w:val="000000"/>
          <w:sz w:val="22"/>
        </w:rP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acquisition team must use ADR to the maximum extent practicable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51-12</w:t>
        </w:r>
      </w:hyperlink>
      <w:r>
        <w:rPr>
          <w:rFonts w:ascii="Times New Roman" w:hAnsi="Times New Roman"/>
          <w:b w:val="false"/>
          <w:i w:val="false"/>
          <w:color w:val="000000"/>
          <w:sz w:val="22"/>
        </w:rPr>
        <w:t xml:space="preserve">, </w:t>
      </w:r>
      <w:r>
        <w:rPr>
          <w:rFonts w:ascii="Times New Roman" w:hAnsi="Times New Roman"/>
          <w:b w:val="false"/>
          <w:i/>
          <w:color w:val="000000"/>
          <w:sz w:val="22"/>
        </w:rPr>
        <w:t>Alternate Disputes Resolution</w:t>
      </w:r>
      <w:r>
        <w:rPr>
          <w:rFonts w:ascii="Times New Roman" w:hAnsi="Times New Roman"/>
          <w:b w:val="false"/>
          <w:i w:val="false"/>
          <w:color w:val="000000"/>
          <w:sz w:val="22"/>
        </w:rP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 U.S.C. 572(b)</w:t>
        </w:r>
      </w:hyperlink>
      <w:r>
        <w:rPr>
          <w:rFonts w:ascii="Times New Roman" w:hAnsi="Times New Roman"/>
          <w:b w:val="false"/>
          <w:i w:val="false"/>
          <w:color w:val="000000"/>
          <w:sz w:val="22"/>
        </w:rPr>
        <w:t xml:space="preserve"> applies or the policy set forth by Deputy General Counsel (Contractor Responsibility &amp; Conflict Resolution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indicates that ADR is not appropriate.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tatic.e-publishing.af.mil/production/1/af_a3_5/publication/afpd51-12/afpd51-12.pdf" Type="http://schemas.openxmlformats.org/officeDocument/2006/relationships/hyperlink" Id="rId4"/>
    <Relationship TargetMode="External" Target="http://uscode.house.gov/view.xhtml?req=granuleid:USC-prelim-title5-section572&amp;num=0&amp;edition=prelim" Type="http://schemas.openxmlformats.org/officeDocument/2006/relationships/hyperlink" Id="rId5"/>
    <Relationship TargetMode="External" Target="mailto:SAF.GCR.Workflow@us.af.mil"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