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**ID__AFFARS_5333_290__ID**</w:t>
      </w:r>
    </w:p>
    <w:p>
      <w:pPr>
        <w:pStyle w:val="Heading3"/>
        <w:spacing w:after="199"/>
        <w:ind w:left="120"/>
        <w:jc w:val="left"/>
      </w:pPr>
      <w:r>
        <w:rPr>
          <w:rFonts w:ascii="Times New Roman" w:hAnsi="Times New Roman"/>
          <w:color w:val="000000"/>
          <w:sz w:val="31"/>
        </w:rPr>
        <w:t>5333.290</w:t>
      </w:r>
      <w:r>
        <w:rPr>
          <w:rFonts w:ascii="Times New Roman" w:hAnsi="Times New Roman"/>
          <w:color w:val="000000"/>
          <w:sz w:val="31"/>
        </w:rPr>
        <w:t xml:space="preserve"> Claims and Terminations for Default</w:t>
      </w:r>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uscode.house.gov/view.xhtml?req=(title:41%20chapter:71%20edition:prelim)%20OR%20(granuleid:USC-prelim-title41-chapter71)&amp;f=treesort&amp;num=0&amp;edition=prelim" Type="http://schemas.openxmlformats.org/officeDocument/2006/relationships/hyperlink" Id="rId4"/>
    <Relationship TargetMode="External" Target="mailto:AF.JACQ.ContractLaw.FieldSupportCntr.Mbx@us.af.mil" Type="http://schemas.openxmlformats.org/officeDocument/2006/relationships/hyperlink" Id="rId5"/>
    <Relationship TargetMode="External" Target="mailto:SAF.GCR.Workflow@us.af.mil" Type="http://schemas.openxmlformats.org/officeDocument/2006/relationships/hyperlink" Id="rId6"/>
    <Relationship TargetMode="External" Target="mailto:SAF.GCR.Workflow@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mailto:SAF.GCR.Workflow@us.af.mil"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