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**ID__AFFARS_5333_topic_13__ID**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AF.JACQ.ContractLaw.FieldSupportCntr.Mbx@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http://www.esd.whs.mil/Portals/54/Documents/DD/issuances/dodd/540007p.pdf" Type="http://schemas.openxmlformats.org/officeDocument/2006/relationships/hyperlink" Id="rId9"/>
    <Relationship TargetMode="External" Target="mailto:AF.JACQ.ContractLaw.FieldSupportCntr.Mbx@us.af.mil"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