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5333.292</w:t>
      </w:r>
      <w:r>
        <w:rPr>
          <w:rFonts w:ascii="Times New Roman" w:hAnsi="Times New Roman"/>
          <w:color w:val="000000"/>
          <w:sz w:val="31"/>
        </w:rPr>
        <w:t xml:space="preserve"> Appeals to the United States Court of Federal Claims (COFC)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Department of Justice represents the Air Force in appeals brought before the COFC. The Air Force Commercial Litigation Field Support Center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serves as the Air Force counsel with the Department of Justice in such appeals.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contracting officer must notify the cognizant legal office and the SCO of any notice of appeal to the COFC. The cognizant legal office must forward a copy of the notice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assist the cognizant legal office in preparing the litigation report. The contracting officer must obtain approval from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trial attorney prior to releasing the litigation report outside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GCR.Workflow@us.af.mil" Type="http://schemas.openxmlformats.org/officeDocument/2006/relationships/hyperlink" Id="rId5"/>
    <Relationship TargetMode="External" Target="mailto:AF.JACQ.ContractLaw.FieldSupportCntr.Mbx@us.af.mil" Type="http://schemas.openxmlformats.org/officeDocument/2006/relationships/hyperlink" Id="rId6"/>
    <Relationship TargetMode="External" Target="mailto:AF.JACQ.ContractLaw.FieldSupportCntr.Mbx@us.af.mil" Type="http://schemas.openxmlformats.org/officeDocument/2006/relationships/hyperlink" Id="rId7"/>
    <Relationship TargetMode="External" Target="AFICC_PGI_5333_9000.dita#AFFARS_pgi_5333_topic_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