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5337.170-2</w:t>
      </w:r>
      <w:r>
        <w:rPr>
          <w:rFonts w:ascii="Times New Roman" w:hAnsi="Times New Roman"/>
          <w:color w:val="000000"/>
          <w:sz w:val="31"/>
        </w:rPr>
        <w:t xml:space="preserve"> Approval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The Services Designated Official (SDO)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will approve acquisitions of services to be purchased through a contract or task order above the SAT that is not performance based.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If more than 50 percent of the requirement (contract or task order), measured in dollars, is performance-based, the requirement can be considered a performance-based service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Purchase requests for services acquisitions that are not performance based will include the following statement: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“IAW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USC 2330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Services Designated Official (SDO) has approved the attached Performance Work Statement and Quality Assurance Surveillance Plan ensuring requirements are performance based to the maximum extent practicable.”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3-138/afi63-138.pdf" Type="http://schemas.openxmlformats.org/officeDocument/2006/relationships/hyperlink" Id="rId4"/>
    <Relationship TargetMode="External" Target="http://www4.law.cornell.edu/uscode/10/2330.htm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