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**ID__AFFARS_5303_topic_5__ID**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5303.104-5</w:t>
      </w:r>
      <w:r>
        <w:rPr>
          <w:rFonts w:ascii="Times New Roman" w:hAnsi="Times New Roman"/>
          <w:color w:val="000000"/>
          <w:sz w:val="31"/>
        </w:rPr>
        <w:t xml:space="preserve"> Disqualification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Follow </w:t>
      </w:r>
      <w:r>
        <w:rPr>
          <w:rFonts w:ascii="Times New Roman" w:hAnsi="Times New Roman"/>
          <w:b w:val="false"/>
          <w:i w:val="false"/>
          <w:color w:val="000000"/>
          <w:sz w:val="22"/>
          <w:u w:val="single"/>
        </w:rPr>
        <w:t>MP5303.104-5</w:t>
      </w:r>
      <w:r>
        <w:rPr>
          <w:rFonts w:ascii="Times New Roman" w:hAnsi="Times New Roman"/>
          <w:b w:val="false"/>
          <w:i w:val="false"/>
          <w:color w:val="000000"/>
          <w:sz w:val="22"/>
        </w:rPr>
        <w:t xml:space="preserve"> for requesting disqualification from participation in an acquisition.</w:t>
      </w:r>
    </w:p>
    <w:p>
      <w:pPr>
        <w:pBdr>
          <w:top w:space="5"/>
          <w:left w:space="5"/>
          <w:bottom w:space="5"/>
          <w:right w:space="5"/>
        </w:pBdr>
        <w:spacing w:after="0"/>
        <w:ind w:left="225"/>
        <w:jc w:val="left"/>
      </w:pPr>
      <w:r>
        <w:rPr>
          <w:rFonts w:ascii="Times New Roman" w:hAnsi="Times New Roman"/>
          <w:b w:val="false"/>
          <w:i w:val="false"/>
          <w:color w:val="000000"/>
          <w:sz w:val="22"/>
        </w:rPr>
        <w:t>(b) In addition to the parties identified at FAR 3.104-5(b), if the source selection authority is the MAJCOM/FOA/DRU/CC or CD, the disqualification notice must be coordinated through the MAJCOM/FOA/DRU JA and the SCO. The notice must include the items at FAR 3.104-5(b) and the following:</w:t>
      </w:r>
    </w:p>
    <w:p>
      <w:pPr>
        <w:pBdr>
          <w:top w:space="5"/>
          <w:left w:space="5"/>
          <w:bottom w:space="5"/>
          <w:right w:space="5"/>
        </w:pBdr>
        <w:spacing w:after="0"/>
        <w:ind w:left="585"/>
        <w:jc w:val="left"/>
      </w:pPr>
      <w:r>
        <w:rPr>
          <w:rFonts w:ascii="Times New Roman" w:hAnsi="Times New Roman"/>
          <w:b w:val="false"/>
          <w:i w:val="false"/>
          <w:color w:val="000000"/>
          <w:sz w:val="22"/>
        </w:rPr>
        <w:t>(1) Name of requestor</w:t>
      </w:r>
    </w:p>
    <w:p>
      <w:pPr>
        <w:pBdr>
          <w:top w:space="5"/>
          <w:left w:space="5"/>
          <w:bottom w:space="5"/>
          <w:right w:space="5"/>
        </w:pBdr>
        <w:spacing w:after="0"/>
        <w:ind w:left="585"/>
        <w:jc w:val="left"/>
      </w:pPr>
      <w:r>
        <w:rPr>
          <w:rFonts w:ascii="Times New Roman" w:hAnsi="Times New Roman"/>
          <w:b w:val="false"/>
          <w:i w:val="false"/>
          <w:color w:val="000000"/>
          <w:sz w:val="22"/>
        </w:rPr>
        <w:t>(2) Current position/job title</w:t>
      </w:r>
    </w:p>
    <w:p>
      <w:pPr>
        <w:pBdr>
          <w:top w:space="5"/>
          <w:left w:space="5"/>
          <w:bottom w:space="5"/>
          <w:right w:space="5"/>
        </w:pBdr>
        <w:spacing w:after="0"/>
        <w:ind w:left="585"/>
        <w:jc w:val="left"/>
      </w:pPr>
      <w:r>
        <w:rPr>
          <w:rFonts w:ascii="Times New Roman" w:hAnsi="Times New Roman"/>
          <w:b w:val="false"/>
          <w:i w:val="false"/>
          <w:color w:val="000000"/>
          <w:sz w:val="22"/>
        </w:rPr>
        <w:t>(3) Projected retirement date</w:t>
      </w:r>
    </w:p>
    <w:p>
      <w:pPr>
        <w:pBdr>
          <w:top w:space="5"/>
          <w:left w:space="5"/>
          <w:bottom w:space="5"/>
          <w:right w:space="5"/>
        </w:pBdr>
        <w:spacing w:after="0"/>
        <w:ind w:left="585"/>
        <w:jc w:val="left"/>
      </w:pPr>
      <w:r>
        <w:rPr>
          <w:rFonts w:ascii="Times New Roman" w:hAnsi="Times New Roman"/>
          <w:b w:val="false"/>
          <w:i w:val="false"/>
          <w:color w:val="000000"/>
          <w:sz w:val="22"/>
        </w:rPr>
        <w:t>(4) Impact on program/unit mission if disqualification is granted</w:t>
      </w:r>
    </w:p>
    <w:p>
      <w:pPr>
        <w:pBdr>
          <w:top w:space="5"/>
          <w:left w:space="5"/>
          <w:bottom w:space="5"/>
          <w:right w:space="5"/>
        </w:pBdr>
        <w:spacing w:after="0"/>
        <w:ind w:left="585"/>
        <w:jc w:val="left"/>
      </w:pPr>
      <w:r>
        <w:rPr>
          <w:rFonts w:ascii="Times New Roman" w:hAnsi="Times New Roman"/>
          <w:b w:val="false"/>
          <w:i w:val="false"/>
          <w:color w:val="000000"/>
          <w:sz w:val="22"/>
        </w:rPr>
        <w:t>(5) Proposed replacement individual for official acquisition duties</w:t>
      </w:r>
    </w:p>
    <w:p>
      <w:pPr>
        <w:pBdr>
          <w:top w:space="5"/>
          <w:left w:space="5"/>
          <w:bottom w:space="5"/>
          <w:right w:space="5"/>
        </w:pBdr>
        <w:spacing w:after="0"/>
        <w:ind w:left="585"/>
        <w:jc w:val="left"/>
      </w:pPr>
      <w:r>
        <w:rPr>
          <w:rFonts w:ascii="Times New Roman" w:hAnsi="Times New Roman"/>
          <w:b w:val="false"/>
          <w:i w:val="false"/>
          <w:color w:val="000000"/>
          <w:sz w:val="22"/>
        </w:rPr>
        <w:t>(6) Commander/Director recommendation</w:t>
      </w:r>
    </w:p>
    <w:p>
      <w:pPr>
        <w:pBdr>
          <w:top w:space="5"/>
          <w:left w:space="5"/>
          <w:bottom w:space="5"/>
          <w:right w:space="5"/>
        </w:pBdr>
        <w:spacing w:after="0"/>
        <w:ind w:left="225"/>
        <w:jc w:val="left"/>
      </w:pPr>
      <w:r>
        <w:rPr>
          <w:rFonts w:ascii="Times New Roman" w:hAnsi="Times New Roman"/>
          <w:b w:val="false"/>
          <w:i w:val="false"/>
          <w:color w:val="000000"/>
          <w:sz w:val="22"/>
        </w:rPr>
        <w:t>(c) Resumption of participation in a procurement</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after consultation with the parties identified in paragraph (b) of this MP, will notify the individual if he or she is disqualified. The individual will remain disqualified unless resumption of participation in the procurement is granted in accordance with paragraph (c) of FAR 3.104-5.</w:t>
      </w:r>
    </w:p>
    <w:p>
      <w:pPr>
        <w:pBdr>
          <w:top w:space="5"/>
          <w:left w:space="5"/>
          <w:bottom w:space="5"/>
          <w:right w:space="5"/>
        </w:pBdr>
        <w:spacing w:after="0"/>
        <w:ind w:left="585"/>
        <w:jc w:val="left"/>
      </w:pPr>
      <w:r>
        <w:rPr>
          <w:rFonts w:ascii="Times New Roman" w:hAnsi="Times New Roman"/>
          <w:b w:val="false"/>
          <w:i w:val="false"/>
          <w:color w:val="000000"/>
          <w:sz w:val="22"/>
        </w:rPr>
        <w:t>(2) See MP5301.601(a)(i). In cases where the SCO is the individual disqualified from participation in a procurement, the DAS(C) must authorize the individual to resume participation in the procurement. The ASAF(A) and their civilian or military deputy have the authority to permit the DAS(C) or ADAS(C) to resume participation in a procurement following contact with an offeror regarding non-Federal employment. 5303.104-7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must provide a copy of the information and documentation generated under FAR 3.104-7 to their cognizant legal counsel and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SAF/GCR</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must forward the information and determination required by FAR 3.104-7(a)(1) to the clearance approval authority ( </w:t>
      </w:r>
      <w:hyperlink r:id="rId5">
        <w:r>
          <w:rPr>
            <w:rStyle w:val="Hyperlink"/>
            <w:rFonts w:ascii="Times New Roman" w:hAnsi="Times New Roman"/>
            <w:b w:val="false"/>
            <w:i w:val="false"/>
            <w:color w:val="0000ff"/>
            <w:sz w:val="22"/>
            <w:u w:val="single"/>
          </w:rPr>
          <w:t>5301.9001(i)</w:t>
        </w:r>
      </w:hyperlink>
      <w:r>
        <w:rPr>
          <w:rFonts w:ascii="Times New Roman" w:hAnsi="Times New Roman"/>
          <w:b w:val="false"/>
          <w:i w:val="false"/>
          <w:color w:val="000000"/>
          <w:sz w:val="22"/>
        </w:rPr>
        <w:t xml:space="preserve"> ) of the affected procurement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(f) See </w:t>
      </w:r>
      <w:hyperlink r:id="rId6">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for individuals who may authorize award.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GCR.Workflow@us.af.mil" Type="http://schemas.openxmlformats.org/officeDocument/2006/relationships/hyperlink" Id="rId4"/>
    <Relationship TargetMode="External" Target="5301_9001.dita#AFFARS_5301_topic_31" Type="http://schemas.openxmlformats.org/officeDocument/2006/relationships/hyperlink" Id="rId5"/>
    <Relationship TargetMode="External" Target="MP5301_601.dita#AFFARS_MP5301.601"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