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**ID__AFFARS_5303_104_5__ID**</w:t>
      </w:r>
    </w:p>
    <w:p>
      <w:pPr>
        <w:pStyle w:val="Heading3"/>
        <w:spacing w:after="199"/>
        <w:ind w:left="120"/>
        <w:jc w:val="left"/>
      </w:pPr>
      <w:r>
        <w:rPr>
          <w:rFonts w:ascii="Times New Roman" w:hAnsi="Times New Roman"/>
          <w:color w:val="000000"/>
          <w:sz w:val="31"/>
        </w:rPr>
        <w:t>5303.104-5</w:t>
      </w:r>
      <w:r>
        <w:rPr>
          <w:rFonts w:ascii="Times New Roman" w:hAnsi="Times New Roman"/>
          <w:color w:val="000000"/>
          <w:sz w:val="31"/>
        </w:rPr>
        <w:t xml:space="preserve"> Disqualification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u w:val="single"/>
        </w:rPr>
        <w:t>MP5303.104-5</w:t>
      </w:r>
      <w:r>
        <w:rPr>
          <w:rFonts w:ascii="Times New Roman" w:hAnsi="Times New Roman"/>
          <w:b w:val="false"/>
          <w:i w:val="false"/>
          <w:color w:val="000000"/>
          <w:sz w:val="22"/>
        </w:rPr>
        <w:t xml:space="preserve"> for requesting disqualification from participation in an acquisition.</w:t>
      </w:r>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3.104-5.</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hyperlink r:id="rId5">
        <w:r>
          <w:rPr>
            <w:rStyle w:val="Hyperlink"/>
            <w:rFonts w:ascii="Times New Roman" w:hAnsi="Times New Roman"/>
            <w:b w:val="false"/>
            <w:i w:val="false"/>
            <w:color w:val="0000ff"/>
            <w:sz w:val="22"/>
            <w:u w:val="single"/>
          </w:rPr>
          <w:t>5301.9001(i)</w:t>
        </w:r>
      </w:hyperlink>
      <w:r>
        <w:rPr>
          <w:rFonts w:ascii="Times New Roman" w:hAnsi="Times New Roman"/>
          <w:b w:val="false"/>
          <w:i w:val="false"/>
          <w:color w:val="000000"/>
          <w:sz w:val="22"/>
        </w:rPr>
        <w:t xml:space="preserve"> )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r:id="rId6">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 individuals who may authorize award.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GCR.Workflow@us.af.mil" Type="http://schemas.openxmlformats.org/officeDocument/2006/relationships/hyperlink" Id="rId4"/>
    <Relationship TargetMode="External" Target="5301_9001.dita#AFFARS_5301_9001" Type="http://schemas.openxmlformats.org/officeDocument/2006/relationships/hyperlink" Id="rId5"/>
    <Relationship TargetMode="External" Target="MP5301_601.dita#AFFARS_MP5301_601"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