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**ID__AFFARS_5344_202_1__ID**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5344.202-1</w:t>
      </w:r>
      <w:r>
        <w:rPr>
          <w:rFonts w:ascii="Times New Roman" w:hAnsi="Times New Roman"/>
          <w:color w:val="000000"/>
          <w:sz w:val="31"/>
        </w:rPr>
        <w:t xml:space="preserve">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the contracting officer shall withhold subcontract consent responsibility from the administering contracting officer for all space program contracts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and shall review and disposition consent requests, including those submitted pursuant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Class Deviation of FAR clause 52.244-2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Subcontracts, paragraph (k).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PART_5302" Type="http://schemas.openxmlformats.org/officeDocument/2006/relationships/hyperlink" Id="rId4"/>
    <Relationship TargetMode="External" Target="https://usaf.dps.mil/sites/AFCC/KnowledgeCenter/pgi_related_documents/crwl_consent_to_subcontract_class_deviation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