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**ID__AFFARS_5350_topic_10__ID**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5350.104-3</w:t>
      </w:r>
      <w:r>
        <w:rPr>
          <w:rFonts w:ascii="Times New Roman" w:hAnsi="Times New Roman"/>
          <w:color w:val="000000"/>
          <w:sz w:val="31"/>
        </w:rPr>
        <w:t>(b)(1) Action on Indemnification Requests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Indemnification Guide for Unusually Hazardous or Nuclear Risks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information. Upon completion of all buying activity coordination, the contracting officer must forward the indemnification request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staffing to the SECAF.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Other_Pubs/Other_Guides/Indemnification_Guide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