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**ID__AFFARS_5352_topic_3__ID**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5352.201-9101</w:t>
      </w:r>
      <w:r>
        <w:rPr>
          <w:rFonts w:ascii="Times New Roman" w:hAnsi="Times New Roman"/>
          <w:color w:val="000000"/>
          <w:sz w:val="31"/>
        </w:rPr>
        <w:t xml:space="preserve"> Ombudsman</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5301.9103</w:t>
        </w:r>
      </w:hyperlink>
      <w:r>
        <w:rPr>
          <w:rFonts w:ascii="Times New Roman" w:hAnsi="Times New Roman"/>
          <w:b w:val="false"/>
          <w:i w:val="false"/>
          <w:color w:val="000000"/>
          <w:sz w:val="22"/>
        </w:rPr>
        <w:t xml:space="preserve"> , insert the following clause:</w:t>
      </w:r>
    </w:p>
    <w:p>
      <w:pPr>
        <w:pBdr>
          <w:top w:space="5"/>
          <w:left w:space="5"/>
          <w:bottom w:space="5"/>
          <w:right w:space="5"/>
        </w:pBdr>
        <w:spacing w:after="0"/>
        <w:ind w:left="225"/>
        <w:jc w:val="left"/>
      </w:pPr>
      <w:r>
        <w:rPr>
          <w:rFonts w:ascii="Times New Roman" w:hAnsi="Times New Roman"/>
          <w:b/>
          <w:i w:val="false"/>
          <w:color w:val="000000"/>
          <w:sz w:val="22"/>
        </w:rPr>
        <w:t>OMBUDSMAN</w:t>
      </w:r>
      <w:r>
        <w:rPr>
          <w:rFonts w:ascii="Times New Roman" w:hAnsi="Times New Roman"/>
          <w:b/>
          <w:i w:val="false"/>
          <w:color w:val="000000"/>
          <w:sz w:val="22"/>
        </w:rPr>
        <w:t>(</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Bdr>
          <w:top w:space="5"/>
          <w:left w:space="5"/>
          <w:bottom w:space="5"/>
          <w:right w:space="5"/>
        </w:pBdr>
        <w:spacing w:after="0"/>
        <w:ind w:left="225"/>
        <w:jc w:val="left"/>
      </w:pPr>
      <w:r>
        <w:rPr>
          <w:rFonts w:ascii="Times New Roman" w:hAnsi="Times New Roman"/>
          <w:b w:val="false"/>
          <w:i w:val="false"/>
          <w:color w:val="000000"/>
          <w:sz w:val="22"/>
        </w:rP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Bdr>
          <w:top w:space="5"/>
          <w:left w:space="5"/>
          <w:bottom w:space="5"/>
          <w:right w:space="5"/>
        </w:pBdr>
        <w:spacing w:after="0"/>
        <w:ind w:left="225"/>
        <w:jc w:val="left"/>
      </w:pPr>
      <w:r>
        <w:rPr>
          <w:rFonts w:ascii="Times New Roman" w:hAnsi="Times New Roman"/>
          <w:b w:val="false"/>
          <w:i w:val="false"/>
          <w:color w:val="000000"/>
          <w:sz w:val="22"/>
        </w:rP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Bdr>
          <w:top w:space="5"/>
          <w:left w:space="5"/>
          <w:bottom w:space="5"/>
          <w:right w:space="5"/>
        </w:pBdr>
        <w:spacing w:after="0"/>
        <w:ind w:left="225"/>
        <w:jc w:val="left"/>
      </w:pPr>
      <w:r>
        <w:rPr>
          <w:rFonts w:ascii="Times New Roman" w:hAnsi="Times New Roman"/>
          <w:b w:val="false"/>
          <w:i w:val="false"/>
          <w:color w:val="000000"/>
          <w:sz w:val="22"/>
        </w:rPr>
        <w:t>(d) The ombudsman has no authority to render a decision that binds the agency.</w:t>
      </w:r>
    </w:p>
    <w:p>
      <w:pPr>
        <w:pBdr>
          <w:top w:space="5"/>
          <w:left w:space="5"/>
          <w:bottom w:space="5"/>
          <w:right w:space="5"/>
        </w:pBdr>
        <w:spacing w:after="0"/>
        <w:ind w:left="225"/>
        <w:jc w:val="left"/>
      </w:pPr>
      <w:r>
        <w:rPr>
          <w:rFonts w:ascii="Times New Roman" w:hAnsi="Times New Roman"/>
          <w:b w:val="false"/>
          <w:i w:val="false"/>
          <w:color w:val="000000"/>
          <w:sz w:val="22"/>
        </w:rPr>
        <w:t>(e) Do not contact the ombudsman to request copies of the solicitation, verify offer due date, or clarify technical requirements. Such inquiries shall be directed to the contracting officer.</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1_9103.dita#AFFARS_5301_topic_35"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