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**ID__AFFARS_5352_209_9001__ID**</w:t>
      </w:r>
    </w:p>
    <w:p>
      <w:pPr>
        <w:pStyle w:val="Heading3"/>
        <w:spacing w:after="199"/>
        <w:ind w:left="120"/>
        <w:jc w:val="left"/>
      </w:pPr>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5309.507-2(b)</w:t>
        </w:r>
      </w:hyperlink>
      <w:r>
        <w:rPr>
          <w:rFonts w:ascii="Times New Roman" w:hAnsi="Times New Roman"/>
          <w:b w:val="false"/>
          <w:i w:val="false"/>
          <w:color w:val="000000"/>
          <w:sz w:val="22"/>
        </w:rPr>
        <w:t xml:space="preserve"> ,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7_2.dita#AFFARS_5309_507_2"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