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5352.223-9000</w:t>
      </w:r>
      <w:r>
        <w:rPr>
          <w:rFonts w:ascii="Times New Roman" w:hAnsi="Times New Roman"/>
          <w:color w:val="000000"/>
          <w:sz w:val="31"/>
        </w:rPr>
        <w:t xml:space="preserve"> Elimination of Use of Class I Ozone Depleting Substances (ODS)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5323.804-90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insert the following clause in solicitations and contracts: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ELIMINATION OF USE OF CLASS I OZONE DEPLETING SUBSTANCES (ODS) (OCT 2019)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Contractors shall not: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Provide any service or product with any specification, standard, drawing, or other document that requires the use of a Class I ODS in the test, operation, or maintenance of any system, subsystem, item, component, or process;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any specification, standard, drawing, or other document that establishes a test, operation, or maintenance requirement that can only be met by use of a Class I ODS as part of this contract/order.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[Note: This prohibition does not apply to manufacturing.]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the purposes of Air Force policy, the following products that are pure (i.e., they meet the relevant product specification identified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32-7086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are Class I ODSs: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Halons: 1011, 1202, 1211, 1301, and 2402;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Chlorofluorocarbons (CFCs): CFC-11, CFC-12, CFC-13, CFC-111, CFC-112, CFC-113, CFC-114, CFC-115, CFC-211, CFC-212, CFC-213, CFC-214, CFC-215, CFC-216, and CFC-217, and the blends R-500, R-501, R-502, and R-503;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Carbon Tetrachloride, Methyl Chloroform, and Methyl Bromide.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[NOTE: Material that uses one or more of these Class I ODSs as minor constituents do not meet the Air Force definition of a Class I ODS.]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(End of clause)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23_804_90.dita#AFFARS_5323_topic_8" Type="http://schemas.openxmlformats.org/officeDocument/2006/relationships/hyperlink" Id="rId4"/>
    <Relationship TargetMode="External" Target="http://static.e-publishing.af.mil/production/1/af_a4/publication/afi32-7086/afi32-7086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