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**ID__AFFARS_pgi_5301_topic_14__ID**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5301.1</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Bdr>
          <w:top w:space="5"/>
          <w:left w:space="5"/>
          <w:bottom w:space="5"/>
          <w:right w:space="5"/>
        </w:pBdr>
        <w:spacing w:after="0"/>
        <w:ind w:left="225"/>
        <w:jc w:val="left"/>
      </w:pPr>
      <w:r>
        <w:rPr>
          <w:rFonts w:ascii="Times New Roman" w:hAnsi="Times New Roman"/>
          <w:b w:val="false"/>
          <w:i w:val="false"/>
          <w:color w:val="000000"/>
          <w:sz w:val="22"/>
        </w:rPr>
        <w:t>The PGI is not a standalone document, it is used in conjunction with the FAR and FAR Supplements.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