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**ID__AFFARS_5303_602__ID**</w:t>
      </w:r>
    </w:p>
    <w:p>
      <w:pPr>
        <w:pStyle w:val="Heading3"/>
        <w:spacing w:after="199"/>
        <w:ind w:left="120"/>
        <w:jc w:val="left"/>
      </w:pPr>
      <w:r>
        <w:rPr>
          <w:rFonts w:ascii="Times New Roman" w:hAnsi="Times New Roman"/>
          <w:color w:val="000000"/>
          <w:sz w:val="31"/>
        </w:rPr>
        <w:t>5303.602</w:t>
      </w:r>
      <w:r>
        <w:rPr>
          <w:rFonts w:ascii="Times New Roman" w:hAnsi="Times New Roman"/>
          <w:color w:val="000000"/>
          <w:sz w:val="31"/>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for approval (see</w:t>
      </w:r>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MP5301.601(a)(i)</w:t>
        </w:r>
      </w:hyperlink>
      <w:r>
        <w:rPr>
          <w:rFonts w:ascii="Times New Roman" w:hAnsi="Times New Roman"/>
          <w:b w:val="false"/>
          <w:i w:val="false"/>
          <w:color w:val="000000"/>
          <w:sz w:val="22"/>
        </w:rPr>
        <w:t xml:space="preserve"> </w:t>
      </w:r>
      <w:r>
        <w:rPr>
          <w:rFonts w:ascii="Times New Roman" w:hAnsi="Times New Roman"/>
          <w:b w:val="false"/>
          <w:i w:val="false"/>
          <w:color w:val="000000"/>
          <w:sz w:val="22"/>
        </w:rPr>
        <w:t>)</w:t>
      </w:r>
      <w:r>
        <w:rPr>
          <w:rFonts w:ascii="Times New Roman" w:hAnsi="Times New Roman"/>
          <w:b w:val="false"/>
          <w:i w:val="false"/>
          <w:color w:val="000000"/>
          <w:sz w:val="22"/>
        </w:rPr>
        <w:t xml:space="preserve"> . The SCO should review each contract action to ensure no viable alternatives exist and that every effort is made to avoid any conflict of interest between the employees' interests and their government duties. Requests must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(1) Description of requirement;</w:t>
      </w:r>
    </w:p>
    <w:p>
      <w:pPr>
        <w:pBdr>
          <w:top w:space="5"/>
          <w:left w:space="5"/>
          <w:bottom w:space="5"/>
          <w:right w:space="5"/>
        </w:pBdr>
        <w:spacing w:after="0"/>
        <w:ind w:left="585"/>
        <w:jc w:val="left"/>
      </w:pPr>
      <w:r>
        <w:rPr>
          <w:rFonts w:ascii="Times New Roman" w:hAnsi="Times New Roman"/>
          <w:b w:val="false"/>
          <w:i w:val="false"/>
          <w:color w:val="000000"/>
          <w:sz w:val="22"/>
        </w:rPr>
        <w:t>(2) Amount of the proposed contract and period of performance or delivery date;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basis for determining the price fair and reasonable;</w:t>
      </w:r>
    </w:p>
    <w:p>
      <w:pPr>
        <w:pBdr>
          <w:top w:space="5"/>
          <w:left w:space="5"/>
          <w:bottom w:space="5"/>
          <w:right w:space="5"/>
        </w:pBdr>
        <w:spacing w:after="0"/>
        <w:ind w:left="585"/>
        <w:jc w:val="left"/>
      </w:pPr>
      <w:r>
        <w:rPr>
          <w:rFonts w:ascii="Times New Roman" w:hAnsi="Times New Roman"/>
          <w:b w:val="false"/>
          <w:i w:val="false"/>
          <w:color w:val="000000"/>
          <w:sz w:val="22"/>
        </w:rPr>
        <w:t>(4) Apparent contract awardee -- Government employee’s name, grade/rank, duty/position title, and organization;</w:t>
      </w:r>
    </w:p>
    <w:p>
      <w:pPr>
        <w:pBdr>
          <w:top w:space="5"/>
          <w:left w:space="5"/>
          <w:bottom w:space="5"/>
          <w:right w:space="5"/>
        </w:pBdr>
        <w:spacing w:after="0"/>
        <w:ind w:left="585"/>
        <w:jc w:val="left"/>
      </w:pPr>
      <w:r>
        <w:rPr>
          <w:rFonts w:ascii="Times New Roman" w:hAnsi="Times New Roman"/>
          <w:b w:val="false"/>
          <w:i w:val="false"/>
          <w:color w:val="000000"/>
          <w:sz w:val="22"/>
        </w:rPr>
        <w:t>(5) Determination that there is no conflict of interest;</w:t>
      </w:r>
    </w:p>
    <w:p>
      <w:pPr>
        <w:pBdr>
          <w:top w:space="5"/>
          <w:left w:space="5"/>
          <w:bottom w:space="5"/>
          <w:right w:space="5"/>
        </w:pBdr>
        <w:spacing w:after="0"/>
        <w:ind w:left="585"/>
        <w:jc w:val="left"/>
      </w:pPr>
      <w:r>
        <w:rPr>
          <w:rFonts w:ascii="Times New Roman" w:hAnsi="Times New Roman"/>
          <w:b w:val="false"/>
          <w:i w:val="false"/>
          <w:color w:val="000000"/>
          <w:sz w:val="22"/>
        </w:rPr>
        <w:t>(6) Explanation of the compelling reason why the Government’s needs cannot otherwise reasonably be met (include description of efforts to obtain services from non-government personnel); and</w:t>
      </w:r>
    </w:p>
    <w:p>
      <w:pPr>
        <w:pBdr>
          <w:top w:space="5"/>
          <w:left w:space="5"/>
          <w:bottom w:space="5"/>
          <w:right w:space="5"/>
        </w:pBdr>
        <w:spacing w:after="0"/>
        <w:ind w:left="585"/>
        <w:jc w:val="left"/>
      </w:pPr>
      <w:r>
        <w:rPr>
          <w:rFonts w:ascii="Times New Roman" w:hAnsi="Times New Roman"/>
          <w:b w:val="false"/>
          <w:i w:val="false"/>
          <w:color w:val="000000"/>
          <w:sz w:val="22"/>
        </w:rPr>
        <w:t>(7) For recurring requirements, describe the steps that will be taken to avoid future awards to a Government employee.</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P5301_601.dita#AFFARS_MP5301_601"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