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**ID__AFFARS_pgi_5301_topic_19__ID**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AFICC PGI 5301.90</w:t>
      </w:r>
      <w:r>
        <w:rPr>
          <w:rFonts w:ascii="Times New Roman" w:hAnsi="Times New Roman"/>
          <w:color w:val="000000"/>
          <w:sz w:val="31"/>
        </w:rPr>
        <w:t xml:space="preserve">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standard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Clearance</w:t>
        </w:r>
      </w:hyperlink>
      <w:r>
        <w:rPr>
          <w:rFonts w:ascii="Times New Roman" w:hAnsi="Times New Roman"/>
          <w:b w:val="false"/>
          <w:i w:val="false"/>
          <w:color w:val="000000"/>
          <w:sz w:val="22"/>
        </w:rP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i w:val="false"/>
          <w:color w:val="000000"/>
          <w:sz w:val="22"/>
        </w:rPr>
        <w:t>Business and Contract Clearance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Prior to requesting clearance, the contracting officer should ensure all required clearance documentation is uploaded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rP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Bdr>
          <w:top w:space="5"/>
          <w:left w:space="5"/>
          <w:bottom w:space="5"/>
          <w:right w:space="5"/>
        </w:pBdr>
        <w:spacing w:after="0"/>
        <w:ind w:left="225"/>
        <w:jc w:val="left"/>
      </w:pPr>
      <w:r>
        <w:rPr>
          <w:rFonts w:ascii="Times New Roman" w:hAnsi="Times New Roman"/>
          <w:b/>
          <w:i w:val="false"/>
          <w:color w:val="000000"/>
          <w:sz w:val="22"/>
        </w:rPr>
        <w:t>Noncompetitive</w:t>
      </w:r>
      <w:r>
        <w:rPr>
          <w:rFonts w:ascii="Times New Roman" w:hAnsi="Times New Roman"/>
          <w:b/>
          <w:i w:val="false"/>
          <w:color w:val="000000"/>
          <w:sz w:val="22"/>
        </w:rPr>
        <w:t>Contract</w:t>
      </w:r>
      <w:r>
        <w:rPr>
          <w:rFonts w:ascii="Times New Roman" w:hAnsi="Times New Roman"/>
          <w:b/>
          <w:i w:val="false"/>
          <w:color w:val="000000"/>
          <w:sz w:val="22"/>
        </w:rPr>
        <w:t>Actions</w:t>
      </w:r>
    </w:p>
    <w:p>
      <w:pPr>
        <w:pBdr>
          <w:top w:space="5"/>
          <w:left w:space="5"/>
          <w:bottom w:space="5"/>
          <w:right w:space="5"/>
        </w:pBdr>
        <w:spacing w:after="0"/>
        <w:ind w:left="225"/>
        <w:jc w:val="left"/>
      </w:pPr>
      <w:r>
        <w:rPr>
          <w:rFonts w:ascii="Times New Roman" w:hAnsi="Times New Roman"/>
          <w:b w:val="false"/>
          <w:i w:val="false"/>
          <w:color w:val="000000"/>
          <w:sz w:val="22"/>
        </w:rP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Bdr>
          <w:top w:space="5"/>
          <w:left w:space="5"/>
          <w:bottom w:space="5"/>
          <w:right w:space="5"/>
        </w:pBdr>
        <w:spacing w:after="0"/>
        <w:ind w:left="225"/>
        <w:jc w:val="left"/>
      </w:pPr>
      <w:r>
        <w:rPr>
          <w:rFonts w:ascii="Times New Roman" w:hAnsi="Times New Roman"/>
          <w:b/>
          <w:i w:val="false"/>
          <w:color w:val="000000"/>
          <w:sz w:val="22"/>
        </w:rPr>
        <w:t>Competitive</w:t>
      </w:r>
      <w:r>
        <w:rPr>
          <w:rFonts w:ascii="Times New Roman" w:hAnsi="Times New Roman"/>
          <w:b/>
          <w:i w:val="false"/>
          <w:color w:val="000000"/>
          <w:sz w:val="22"/>
        </w:rPr>
        <w:t>Contract</w:t>
      </w:r>
      <w:r>
        <w:rPr>
          <w:rFonts w:ascii="Times New Roman" w:hAnsi="Times New Roman"/>
          <w:b/>
          <w:i w:val="false"/>
          <w:color w:val="000000"/>
          <w:sz w:val="22"/>
        </w:rPr>
        <w:t>Actions</w:t>
      </w:r>
    </w:p>
    <w:p>
      <w:pPr>
        <w:pBdr>
          <w:top w:space="5"/>
          <w:left w:space="5"/>
          <w:bottom w:space="5"/>
          <w:right w:space="5"/>
        </w:pBdr>
        <w:spacing w:after="0"/>
        <w:ind w:left="225"/>
        <w:jc w:val="left"/>
      </w:pPr>
      <w:r>
        <w:rPr>
          <w:rFonts w:ascii="Times New Roman" w:hAnsi="Times New Roman"/>
          <w:b w:val="false"/>
          <w:i w:val="false"/>
          <w:color w:val="000000"/>
          <w:sz w:val="22"/>
        </w:rPr>
        <w:t>For competitive Contract Clearance the CAA may be invited to the SSA briefing.</w:t>
      </w:r>
    </w:p>
    <w:p>
      <w:pPr>
        <w:pBdr>
          <w:top w:space="5"/>
          <w:left w:space="5"/>
          <w:bottom w:space="5"/>
          <w:right w:space="5"/>
        </w:pBdr>
        <w:spacing w:after="0"/>
        <w:ind w:left="225"/>
        <w:jc w:val="left"/>
      </w:pPr>
      <w:r>
        <w:rPr>
          <w:rFonts w:ascii="Times New Roman" w:hAnsi="Times New Roman"/>
          <w:b/>
          <w:i w:val="false"/>
          <w:color w:val="000000"/>
          <w:sz w:val="22"/>
        </w:rPr>
        <w:t>Clearance Exclusions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Library</w:t>
        </w:r>
      </w:hyperlink>
      <w:r>
        <w:rPr>
          <w:rFonts w:ascii="Times New Roman" w:hAnsi="Times New Roman"/>
          <w:b w:val="false"/>
          <w:i w:val="false"/>
          <w:color w:val="000000"/>
          <w:sz w:val="22"/>
        </w:rPr>
        <w:t>) to exclude an order from business or contract clearance.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74/afcc/aficc/kp/kpp/training/sitepages/clearance.aspx" Type="http://schemas.openxmlformats.org/officeDocument/2006/relationships/hyperlink" Id="rId4"/>
    <Relationship TargetMode="External" Target="https://cs2.eis.af.mil/sites/11191/KTFSApp/app/index.aspx" Type="http://schemas.openxmlformats.org/officeDocument/2006/relationships/hyperlink" Id="rId5"/>
    <Relationship TargetMode="External" Target="https://cs2.eis.af.mil/sites/11191/KTFSApp/app/index.aspx" Type="http://schemas.openxmlformats.org/officeDocument/2006/relationships/hyperlink" Id="rId6"/>
    <Relationship TargetMode="External" Target="https://cs2.eis.af.mil/sites/10059/afcc/knowledge_center/affars_pgi_related_documents/Forms/AllItems.asp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