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**ID__AFFARS_AFMC_PGI_5301_601_90__ID**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5301.601-90</w:t>
      </w:r>
      <w:r>
        <w:rPr>
          <w:rFonts w:ascii="Times New Roman" w:hAnsi="Times New Roman"/>
          <w:color w:val="000000"/>
          <w:sz w:val="31"/>
        </w:rPr>
        <w:t xml:space="preserve"> Head of Agency (HoA), Senior Procurement Executive (SPE), and Service Acquisition Executive (SAE)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AFLCMC/PK,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AFNWC/PZ,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For AFSC/PK Tinker,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PK_SCO_delgations_19-C-11.pdf" Type="http://schemas.openxmlformats.org/officeDocument/2006/relationships/hyperlink" Id="rId4"/>
    <Relationship TargetMode="External" Target="https://cs2.eis.af.mil/sites/10059/afcc/knowledge_center/affars_pgi_related_documents/AFNWC_PZ_SCO_Delegation_Memo.pdf" Type="http://schemas.openxmlformats.org/officeDocument/2006/relationships/hyperlink" Id="rId5"/>
    <Relationship TargetMode="External" Target="https://cs2.eis.af.mil/sites/10059/afcc/knowledge_center/affars_pgi_related_documents/AFSC_SCO_Delegation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