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**ID__AFFARS_pgi_5301_topic_28__ID**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5301.601-91</w:t>
      </w:r>
      <w:r>
        <w:rPr>
          <w:rFonts w:ascii="Times New Roman" w:hAnsi="Times New Roman"/>
          <w:color w:val="000000"/>
          <w:sz w:val="31"/>
        </w:rPr>
        <w:t xml:space="preserve"> Air Force Contracting Compliance Inspection Program</w:t>
      </w:r>
    </w:p>
    <w:p>
      <w:pPr>
        <w:pBdr>
          <w:top w:space="5"/>
          <w:left w:space="5"/>
          <w:bottom w:space="5"/>
          <w:right w:space="5"/>
        </w:pBdr>
        <w:spacing w:after="0"/>
        <w:ind w:left="225"/>
        <w:jc w:val="left"/>
      </w:pPr>
      <w:r>
        <w:rPr>
          <w:rFonts w:ascii="Times New Roman" w:hAnsi="Times New Roman"/>
          <w:b w:val="false"/>
          <w:i w:val="false"/>
          <w:color w:val="000000"/>
          <w:sz w:val="22"/>
        </w:rPr>
        <w:t>Reference MP5301.601-91, Air Force Contracting Compliance Inspection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AFMC Contracting Self-Inspection Process - Introduction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This PGI establishes the AFMC standardized process for Contracting Unit Self-Inspections of awarded actions using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 The Self-Inspection Program Monitor (SIPM) briefs Management Internal Control Toolset (MICT) status to the SCO and actions are considered complete when Contracting Office SCO has been briefed on closure of any corrective action, and closure in the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Applicable Publications, Regulations,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and</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Checklists</w:t>
      </w:r>
    </w:p>
    <w:p>
      <w:pPr>
        <w:numPr>
          <w:ilvl w:val="0"/>
          <w:numId w:val="1"/>
        </w:numPr>
        <w:spacing w:after="0"/>
        <w:jc w:val="left"/>
      </w:pPr>
      <w:r>
        <w:rPr>
          <w:rFonts w:ascii="Times New Roman" w:hAnsi="Times New Roman"/>
          <w:b w:val="false"/>
          <w:i w:val="false"/>
          <w:color w:val="000000"/>
          <w:sz w:val="22"/>
        </w:rPr>
        <w:t>AFI 90-201</w:t>
      </w:r>
    </w:p>
    <w:p>
      <w:pPr>
        <w:numPr>
          <w:ilvl w:val="0"/>
          <w:numId w:val="1"/>
        </w:numPr>
        <w:spacing w:after="0"/>
        <w:jc w:val="left"/>
      </w:pPr>
      <w:r>
        <w:rPr>
          <w:rFonts w:ascii="Times New Roman" w:hAnsi="Times New Roman"/>
          <w:b w:val="false"/>
          <w:i w:val="false"/>
          <w:color w:val="000000"/>
          <w:sz w:val="22"/>
        </w:rPr>
        <w:t>AFI 90-201 AFMCSUP</w:t>
      </w:r>
    </w:p>
    <w:p>
      <w:pPr>
        <w:numPr>
          <w:ilvl w:val="0"/>
          <w:numId w:val="1"/>
        </w:numPr>
        <w:spacing w:after="0"/>
        <w:jc w:val="left"/>
      </w:pPr>
      <w:r>
        <w:rPr>
          <w:rFonts w:ascii="Times New Roman" w:hAnsi="Times New Roman"/>
          <w:b w:val="false"/>
          <w:i w:val="false"/>
          <w:color w:val="000000"/>
          <w:sz w:val="22"/>
        </w:rPr>
        <w:t>AFFARS 5301.601-91</w:t>
      </w:r>
    </w:p>
    <w:p>
      <w:pPr>
        <w:numPr>
          <w:ilvl w:val="0"/>
          <w:numId w:val="1"/>
        </w:numPr>
        <w:spacing w:after="0"/>
        <w:jc w:val="left"/>
      </w:pPr>
      <w:r>
        <w:rPr>
          <w:rFonts w:ascii="Times New Roman" w:hAnsi="Times New Roman"/>
          <w:b w:val="false"/>
          <w:i w:val="false"/>
          <w:color w:val="000000"/>
          <w:sz w:val="22"/>
        </w:rPr>
        <w:t>AFFARS MP5301.601-91</w:t>
      </w:r>
    </w:p>
    <w:p>
      <w:pPr>
        <w:numPr>
          <w:ilvl w:val="0"/>
          <w:numId w:val="1"/>
        </w:numPr>
        <w:spacing w:after="0"/>
        <w:jc w:val="left"/>
      </w:pPr>
      <w:r>
        <w:rPr>
          <w:rFonts w:ascii="Times New Roman" w:hAnsi="Times New Roman"/>
          <w:b w:val="false"/>
          <w:i w:val="false"/>
          <w:color w:val="000000"/>
          <w:sz w:val="22"/>
        </w:rPr>
        <w:t>Air Force Contracting Self-Inspection Checklist</w:t>
      </w:r>
    </w:p>
    <w:p>
      <w:pPr>
        <w:numPr>
          <w:ilvl w:val="0"/>
          <w:numId w:val="1"/>
        </w:numPr>
        <w:spacing w:after="0"/>
        <w:jc w:val="left"/>
      </w:pPr>
      <w:r>
        <w:rPr>
          <w:rFonts w:ascii="Times New Roman" w:hAnsi="Times New Roman"/>
          <w:b w:val="false"/>
          <w:i w:val="false"/>
          <w:color w:val="000000"/>
          <w:sz w:val="22"/>
        </w:rPr>
        <w:t>AFMCI 64-116</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p>
    <w:p>
      <w:pPr>
        <w:pBdr>
          <w:top w:space="5"/>
          <w:left w:space="5"/>
          <w:bottom w:space="5"/>
          <w:right w:space="5"/>
        </w:pBdr>
        <w:spacing w:after="0"/>
        <w:ind w:left="225"/>
        <w:jc w:val="left"/>
      </w:pPr>
      <w:r>
        <w:rPr>
          <w:rFonts w:ascii="Times New Roman" w:hAnsi="Times New Roman"/>
          <w:b w:val="false"/>
          <w:i w:val="false"/>
          <w:color w:val="000000"/>
          <w:sz w:val="22"/>
        </w:rPr>
        <w:t>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w:t>
      </w:r>
    </w:p>
    <w:p>
      <w:pPr>
        <w:pBdr>
          <w:top w:space="5"/>
          <w:left w:space="5"/>
          <w:bottom w:space="5"/>
          <w:right w:space="5"/>
        </w:pBdr>
        <w:spacing w:after="0"/>
        <w:ind w:left="225"/>
        <w:jc w:val="left"/>
      </w:pPr>
      <w:r>
        <w:rPr>
          <w:rFonts w:ascii="Times New Roman" w:hAnsi="Times New Roman"/>
          <w:b w:val="false"/>
          <w:i w:val="false"/>
          <w:color w:val="000000"/>
          <w:sz w:val="22"/>
        </w:rPr>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Contracting Management Program IAW the AF Contracting Self-Assessment Communicator</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Offices should inspect contracting management programs IAW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90-201</w:t>
        </w:r>
      </w:hyperlink>
      <w:r>
        <w:rPr>
          <w:rFonts w:ascii="Times New Roman" w:hAnsi="Times New Roman"/>
          <w:b w:val="false"/>
          <w:i w:val="false"/>
          <w:color w:val="000000"/>
          <w:sz w:val="22"/>
        </w:rPr>
        <w:t xml:space="preserve"> and AFFARS MP 5301.601-91. SCOs should be regularly briefed on organization MICT status.</w:t>
      </w:r>
    </w:p>
    <w:p>
      <w:pPr>
        <w:pBdr>
          <w:top w:space="5"/>
          <w:left w:space="5"/>
          <w:bottom w:space="5"/>
          <w:right w:space="5"/>
        </w:pBdr>
        <w:spacing w:after="0"/>
        <w:ind w:left="225"/>
        <w:jc w:val="left"/>
      </w:pPr>
      <w:r>
        <w:rPr>
          <w:rFonts w:ascii="Times New Roman" w:hAnsi="Times New Roman"/>
          <w:b w:val="false"/>
          <w:i w:val="false"/>
          <w:color w:val="000000"/>
          <w:sz w:val="22"/>
        </w:rPr>
        <w:t>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Unit Awarded Action Self-Inspections</w:t>
      </w:r>
    </w:p>
    <w:p>
      <w:pPr>
        <w:pBdr>
          <w:top w:space="5"/>
          <w:left w:space="5"/>
          <w:bottom w:space="5"/>
          <w:right w:space="5"/>
        </w:pBdr>
        <w:spacing w:after="0"/>
        <w:ind w:left="225"/>
        <w:jc w:val="left"/>
      </w:pPr>
      <w:r>
        <w:rPr>
          <w:rFonts w:ascii="Times New Roman" w:hAnsi="Times New Roman"/>
          <w:b w:val="false"/>
          <w:i w:val="false"/>
          <w:color w:val="000000"/>
          <w:sz w:val="22"/>
        </w:rPr>
        <w:t>The self-inspection of individual contract files flows through a three phase process: first, Identification/Selection and Review of Awarded Actions; second, Analysis/Trend Identification and Corrective Action Plans; and third, Contracting Office tracking through resolution. Unit contracting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(e)(1) </w:t>
      </w:r>
      <w:r>
        <w:rPr>
          <w:rFonts w:ascii="Times New Roman" w:hAnsi="Times New Roman"/>
          <w:b w:val="false"/>
          <w:i w:val="false"/>
          <w:color w:val="000000"/>
          <w:sz w:val="22"/>
          <w:u w:val="single"/>
        </w:rPr>
        <w:t>Phase One - Identification/Selection and Review of Awarded Actions:</w:t>
      </w:r>
    </w:p>
    <w:p>
      <w:pPr>
        <w:pBdr>
          <w:top w:space="5"/>
          <w:left w:space="5"/>
          <w:bottom w:space="5"/>
          <w:right w:space="5"/>
        </w:pBdr>
        <w:spacing w:after="0"/>
        <w:ind w:left="225"/>
        <w:jc w:val="left"/>
      </w:pPr>
      <w:r>
        <w:rPr>
          <w:rFonts w:ascii="Times New Roman" w:hAnsi="Times New Roman"/>
          <w:b w:val="false"/>
          <w:i w:val="false"/>
          <w:color w:val="000000"/>
          <w:sz w:val="22"/>
        </w:rPr>
        <w:t>Unit PZCs (or their delegate if no PZC is resident at a given location) should identify and review contract actions including contracts, modifications, and orders issued since the last data pull, below the clearance review thresholds identified in the AFMC PGI.</w:t>
      </w:r>
    </w:p>
    <w:p>
      <w:pPr>
        <w:pBdr>
          <w:top w:space="5"/>
          <w:left w:space="5"/>
          <w:bottom w:space="5"/>
          <w:right w:space="5"/>
        </w:pBdr>
        <w:spacing w:after="0"/>
        <w:ind w:left="225"/>
        <w:jc w:val="left"/>
      </w:pPr>
      <w:r>
        <w:rPr>
          <w:rFonts w:ascii="Times New Roman" w:hAnsi="Times New Roman"/>
          <w:b w:val="false"/>
          <w:i w:val="false"/>
          <w:color w:val="000000"/>
          <w:sz w:val="22"/>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identified in AFFARS MP5301.601-91, para 2.</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 of Actions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Number/Percent of awards annually reviewed for Self-Inspection</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Five actions (or all, if less than five total awards)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101 - 500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Five (5) actions, or no less than two (2) percent minimum - whichever is greater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less than two (2) percent</w:t>
            </w:r>
          </w:p>
        </w:tc>
      </w:tr>
    </w:tbl>
    <w:p>
      <w:pPr>
        <w:pBdr>
          <w:top w:space="5"/>
          <w:left w:space="5"/>
          <w:bottom w:space="5"/>
          <w:right w:space="5"/>
        </w:pBdr>
        <w:spacing w:after="0"/>
        <w:ind w:left="225"/>
        <w:jc w:val="left"/>
      </w:pPr>
      <w:r>
        <w:rPr>
          <w:rFonts w:ascii="Times New Roman" w:hAnsi="Times New Roman"/>
          <w:b w:val="false"/>
          <w:i w:val="false"/>
          <w:color w:val="000000"/>
          <w:sz w:val="22"/>
        </w:rPr>
        <w:t>In addition to the actions inspected to meet the requirements of this process, contracting self-inspections may include additional actions above the review threshold as a secondary quality check (and final verification that final contract clearance issues were adequately addressed). All 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w:t>
      </w:r>
    </w:p>
    <w:p>
      <w:pPr>
        <w:pBdr>
          <w:top w:space="5"/>
          <w:left w:space="5"/>
          <w:bottom w:space="5"/>
          <w:right w:space="5"/>
        </w:pBdr>
        <w:spacing w:after="0"/>
        <w:ind w:left="225"/>
        <w:jc w:val="left"/>
      </w:pPr>
      <w:r>
        <w:rPr>
          <w:rFonts w:ascii="Times New Roman" w:hAnsi="Times New Roman"/>
          <w:b w:val="false"/>
          <w:i w:val="false"/>
          <w:color w:val="000000"/>
          <w:sz w:val="22"/>
        </w:rPr>
        <w:t>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w:t>
      </w:r>
    </w:p>
    <w:p>
      <w:pPr>
        <w:pBdr>
          <w:top w:space="5"/>
          <w:left w:space="5"/>
          <w:bottom w:space="5"/>
          <w:right w:space="5"/>
        </w:pBdr>
        <w:spacing w:after="0"/>
        <w:ind w:left="225"/>
        <w:jc w:val="left"/>
      </w:pPr>
      <w:r>
        <w:rPr>
          <w:rFonts w:ascii="Times New Roman" w:hAnsi="Times New Roman"/>
          <w:b w:val="false"/>
          <w:i w:val="false"/>
          <w:color w:val="000000"/>
          <w:sz w:val="22"/>
        </w:rPr>
        <w:t>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w:t>
      </w:r>
    </w:p>
    <w:p>
      <w:pPr>
        <w:pBdr>
          <w:top w:space="5"/>
          <w:left w:space="5"/>
          <w:bottom w:space="5"/>
          <w:right w:space="5"/>
        </w:pBdr>
        <w:spacing w:after="0"/>
        <w:ind w:left="225"/>
        <w:jc w:val="left"/>
      </w:pPr>
      <w:r>
        <w:rPr>
          <w:rFonts w:ascii="Times New Roman" w:hAnsi="Times New Roman"/>
          <w:b w:val="false"/>
          <w:i w:val="false"/>
          <w:color w:val="000000"/>
          <w:sz w:val="22"/>
        </w:rPr>
        <w:t xml:space="preserve">(e)(2) </w:t>
      </w:r>
      <w:r>
        <w:rPr>
          <w:rFonts w:ascii="Times New Roman" w:hAnsi="Times New Roman"/>
          <w:b w:val="false"/>
          <w:i w:val="false"/>
          <w:color w:val="000000"/>
          <w:sz w:val="22"/>
          <w:u w:val="single"/>
        </w:rPr>
        <w:t>Phase Two: Analysis/Trend Identification, Areas of Concern and Corrective Action Plans</w:t>
      </w:r>
    </w:p>
    <w:p>
      <w:pPr>
        <w:pBdr>
          <w:top w:space="5"/>
          <w:left w:space="5"/>
          <w:bottom w:space="5"/>
          <w:right w:space="5"/>
        </w:pBdr>
        <w:spacing w:after="0"/>
        <w:ind w:left="225"/>
        <w:jc w:val="left"/>
      </w:pPr>
      <w:r>
        <w:rPr>
          <w:rFonts w:ascii="Times New Roman" w:hAnsi="Times New Roman"/>
          <w:b w:val="false"/>
          <w:i w:val="false"/>
          <w:color w:val="000000"/>
          <w:sz w:val="22"/>
        </w:rPr>
        <w:t xml:space="preserve">Upon completion of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the data should be consolidated and the SIP POC should analyze and identify any trends (using the table below for trend analysis) or actions requiring further effort as CAPs or Area(s) of Concern (AOC)–reporting to Contracting Office 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the self-assessment. The SIPM should generate or facilitate creation of CAPs with input and buy-in from affected buying offices.</w:t>
      </w:r>
    </w:p>
    <w:p>
      <w:pPr>
        <w:pBdr>
          <w:top w:space="5"/>
          <w:left w:space="5"/>
          <w:bottom w:space="5"/>
          <w:right w:space="5"/>
        </w:pBdr>
        <w:spacing w:after="0"/>
        <w:ind w:left="225"/>
        <w:jc w:val="left"/>
      </w:pPr>
      <w:r>
        <w:rPr>
          <w:rFonts w:ascii="Times New Roman" w:hAnsi="Times New Roman"/>
          <w:b w:val="false"/>
          <w:i w:val="false"/>
          <w:color w:val="000000"/>
          <w:sz w:val="22"/>
        </w:rPr>
        <w:t>CAPs should be developed and should be tracked to closure by the applicable PZC office with support from the office(s) in which the observations occurred. Systemic trends are distinguished by the reportable Contracting Office.</w:t>
      </w:r>
    </w:p>
    <w:p>
      <w:pPr>
        <w:pBdr>
          <w:top w:space="5"/>
          <w:left w:space="5"/>
          <w:bottom w:space="5"/>
          <w:right w:space="5"/>
        </w:pBdr>
        <w:spacing w:after="0"/>
        <w:ind w:left="225"/>
        <w:jc w:val="left"/>
      </w:pPr>
      <w:r>
        <w:rPr>
          <w:rFonts w:ascii="Times New Roman" w:hAnsi="Times New Roman"/>
          <w:b w:val="false"/>
          <w:i w:val="false"/>
          <w:color w:val="000000"/>
          <w:sz w:val="22"/>
        </w:rPr>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27"/>
        <w:gridCol w:w="10847"/>
      </w:tblGrid>
      <w:tr>
        <w:trPr>
          <w:trHeight w:val="810"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Data Pull Sample Size</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Volume/percent within a given award assessment pull to consider as a trend for analysis for SCO)</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Three (3) or more findings of a given checklist item or twenty (20) to thirty (30) percent (or more) of actions with given checklist item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11-25</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Four (4) or more findings of a given checklist item or twenty (20) to thirty (30) (or more) of actions with given checklist item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26-50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Ten (10) or more findings of a given checklist item or twenty (20) to thirty (30) percent (or more) of actions with given checklist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51-75</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Eighteen (18) or more findings of a given checklist item or twenty (20) to thirty (30) percent (or more) of actions with given checklist item (whichever is greater)</w:t>
            </w:r>
          </w:p>
        </w:tc>
      </w:tr>
      <w:tr>
        <w:trPr>
          <w:trHeight w:val="106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76-100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Twenty-four (24) or more findings of a given checklist item or twenty (20) to thirty (30) percent (or more) of actions with given checklist item(whichever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101-200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Thirty-six (36) or more findings of a given checklist item or twenty (20) to thirty (30) percent (or more) of actions with given checklist item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&gt;201</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Fifty (50) or more findings of a given checklist item or twenty (20) to thirty (30) percent (or more) of actions with given checklist item (whichever is greater)</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The SIPM should ensure inspections are completed using the applicable Contracting Self-Assessment Communicator or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(e)(3) </w:t>
      </w:r>
      <w:r>
        <w:rPr>
          <w:rFonts w:ascii="Times New Roman" w:hAnsi="Times New Roman"/>
          <w:b w:val="false"/>
          <w:i w:val="false"/>
          <w:color w:val="000000"/>
          <w:sz w:val="22"/>
          <w:u w:val="single"/>
        </w:rPr>
        <w:t>Phase Three: Local Tracking Through Resolution:</w:t>
      </w:r>
    </w:p>
    <w:p>
      <w:pPr>
        <w:pBdr>
          <w:top w:space="5"/>
          <w:left w:space="5"/>
          <w:bottom w:space="5"/>
          <w:right w:space="5"/>
        </w:pBdr>
        <w:spacing w:after="0"/>
        <w:ind w:left="225"/>
        <w:jc w:val="left"/>
      </w:pPr>
      <w:r>
        <w:rPr>
          <w:rFonts w:ascii="Times New Roman" w:hAnsi="Times New Roman"/>
          <w:b w:val="false"/>
          <w:i w:val="false"/>
          <w:color w:val="000000"/>
          <w:sz w:val="22"/>
        </w:rPr>
        <w:t>Each Checklist inspection result is consolidated by each reportable Contracting Office and should include reportable identified Critical, Significant, and Minor trends (as established by the criteria in this process).</w:t>
      </w:r>
    </w:p>
    <w:p>
      <w:pPr>
        <w:pBdr>
          <w:top w:space="5"/>
          <w:left w:space="5"/>
          <w:bottom w:space="5"/>
          <w:right w:space="5"/>
        </w:pBdr>
        <w:spacing w:after="0"/>
        <w:ind w:left="225"/>
        <w:jc w:val="left"/>
      </w:pPr>
      <w:r>
        <w:rPr>
          <w:rFonts w:ascii="Times New Roman" w:hAnsi="Times New Roman"/>
          <w:b w:val="false"/>
          <w:i w:val="false"/>
          <w:color w:val="000000"/>
          <w:sz w:val="22"/>
        </w:rPr>
        <w:t>Unit self-inspection for a record is considered complete upon final corrective resolution out-briefed to the cognizant SCO.</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Deficiency Severities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Deficiency severity definitions are found in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90-201, Attachment 1</w:t>
        </w:r>
      </w:hyperlink>
      <w:r>
        <w:rPr>
          <w:rFonts w:ascii="Times New Roman" w:hAnsi="Times New Roman"/>
          <w:b w:val="false"/>
          <w:i w:val="false"/>
          <w:color w:val="000000"/>
          <w:sz w:val="22"/>
        </w:rPr>
        <w:t>. There are three deficiency severities: critical, significant, and minor.</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val="false"/>
          <w:color w:val="000000"/>
          <w:sz w:val="22"/>
          <w:u w:val="single"/>
        </w:rPr>
        <w:t>Areas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of</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Concern (AOC)</w:t>
      </w:r>
    </w:p>
    <w:p>
      <w:pPr>
        <w:pBdr>
          <w:top w:space="5"/>
          <w:left w:space="5"/>
          <w:bottom w:space="5"/>
          <w:right w:space="5"/>
        </w:pBdr>
        <w:spacing w:after="0"/>
        <w:ind w:left="225"/>
        <w:jc w:val="left"/>
      </w:pPr>
      <w:r>
        <w:rPr>
          <w:rFonts w:ascii="Times New Roman" w:hAnsi="Times New Roman"/>
          <w:b w:val="false"/>
          <w:i w:val="false"/>
          <w:color w:val="000000"/>
          <w:sz w:val="22"/>
        </w:rPr>
        <w:t>AOC merit additional attention by management, but are not of the severity that they merit a CAP. Contracting Offices can designate an item as an AOC for local focus (e.g., based on observations from recent inspection, based on new regulations being issued for that area, based on a new checklist question being added, reading other IG reports for insight, etc.). Contracting Office AOCs should be managed and closed at the level they were initiated. Creation of each AOC item should include the exit criteria for action closure.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templates/self_inspection_checklist.xlsx" Type="http://schemas.openxmlformats.org/officeDocument/2006/relationships/hyperlink" Id="rId4"/>
    <Relationship TargetMode="External" Target="https://cs2.eis.af.mil/sites/10059/afcc/knowledge_center/templates/self_inspection_checklist.xlsx" Type="http://schemas.openxmlformats.org/officeDocument/2006/relationships/hyperlink" Id="rId5"/>
    <Relationship TargetMode="External" Target="http://static.e-publishing.af.mil/production/1/saf_ig/publication/afi90-201/afi90-201.pdf" Type="http://schemas.openxmlformats.org/officeDocument/2006/relationships/hyperlink" Id="rId6"/>
    <Relationship TargetMode="External" Target="https://cs2.eis.af.mil/sites/10059/afcc/knowledge_center/templates/self_inspection_checklist.xlsx" Type="http://schemas.openxmlformats.org/officeDocument/2006/relationships/hyperlink" Id="rId7"/>
    <Relationship TargetMode="External" Target="https://cs2.eis.af.mil/sites/10059/afcc/knowledge_center/templates/self_inspection_checklist.xlsx" Type="http://schemas.openxmlformats.org/officeDocument/2006/relationships/hyperlink" Id="rId8"/>
    <Relationship TargetMode="External" Target="https://cs2.eis.af.mil/sites/10059/afcc/knowledge_center/templates/self_inspection_checklist.xlsx" Type="http://schemas.openxmlformats.org/officeDocument/2006/relationships/hyperlink" Id="rId9"/>
    <Relationship TargetMode="External" Target="http://static.e-publishing.af.mil/production/1/saf_ig/publication/afi90-201/afi90-201.pdf"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