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**ID__AFFARS_AFMC_PGI_5301_9001__ID**</w:t>
      </w:r>
    </w:p>
    <w:p>
      <w:pPr>
        <w:pStyle w:val="Heading3"/>
        <w:spacing w:after="199"/>
        <w:ind w:left="120"/>
        <w:jc w:val="left"/>
      </w:pPr>
      <w:r>
        <w:rPr>
          <w:rFonts w:ascii="Times New Roman" w:hAnsi="Times New Roman"/>
          <w:color w:val="000000"/>
          <w:sz w:val="31"/>
        </w:rPr>
        <w:t>AFMC PGI 5301.9001</w:t>
      </w:r>
      <w:r>
        <w:rPr>
          <w:rFonts w:ascii="Times New Roman" w:hAnsi="Times New Roman"/>
          <w:color w:val="000000"/>
          <w:sz w:val="31"/>
        </w:rPr>
        <w:t xml:space="preserve"> Clearance Delegations</w:t>
      </w:r>
    </w:p>
    <w:p>
      <w:pPr>
        <w:pBdr>
          <w:top w:space="5"/>
          <w:left w:space="5"/>
          <w:bottom w:space="5"/>
          <w:right w:space="5"/>
        </w:pBdr>
        <w:spacing w:after="0"/>
        <w:ind w:left="225"/>
        <w:jc w:val="left"/>
      </w:pPr>
      <w:r>
        <w:rPr>
          <w:rFonts w:ascii="Times New Roman" w:hAnsi="Times New Roman"/>
          <w:b w:val="false"/>
          <w:i w:val="false"/>
          <w:color w:val="000000"/>
          <w:sz w:val="22"/>
        </w:rP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For AFLCMC/PK</w:t>
      </w:r>
      <w:r>
        <w:rPr>
          <w:rFonts w:ascii="Times New Roman" w:hAnsi="Times New Roman"/>
          <w:b w:val="false"/>
          <w:i w:val="false"/>
          <w:color w:val="000000"/>
          <w:sz w:val="22"/>
        </w:rPr>
        <w:t xml:space="preserve"> Clearance Review and Approval Authorities, see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Air Force Nuclear Weapons Center (AFNWC): The AFNWC SCO establishes the following clearance approval authority thresholds for all AFNWC/PZ locations (Eglin, Kirtland, Hanscom, Hill, and Tinker AFB):</w:t>
      </w:r>
    </w:p>
    <w:p>
      <w:pPr>
        <w:pBdr>
          <w:top w:space="5"/>
          <w:left w:space="5"/>
          <w:bottom w:space="5"/>
          <w:right w:space="5"/>
        </w:pBdr>
        <w:spacing w:after="0"/>
        <w:ind w:left="585"/>
        <w:jc w:val="left"/>
      </w:pPr>
      <w:r>
        <w:rPr>
          <w:rFonts w:ascii="Times New Roman" w:hAnsi="Times New Roman"/>
          <w:b w:val="false"/>
          <w:i w:val="false"/>
          <w:color w:val="000000"/>
          <w:sz w:val="22"/>
        </w:rPr>
        <w:t>a. Clearance Approval for PEO (Systems)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133"/>
        <w:gridCol w:w="10441"/>
      </w:tblGrid>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PEO (Systems) Contracting</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Contract Value</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Clearance Approval Authority</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DAS(C)/ADAS(C)</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$250M to &lt; $1B</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 $100M to $250M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 Level Below the SCO (Division Chief/COCO)</w:t>
            </w:r>
          </w:p>
        </w:tc>
      </w:tr>
      <w:tr>
        <w:trPr>
          <w:trHeight w:val="525" w:hRule="atLeast"/>
        </w:trPr>
        <w:tc>
          <w:tcPr>
            <w:tcW w:w="31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 to $100M</w:t>
            </w:r>
          </w:p>
        </w:tc>
        <w:tc>
          <w:tcPr>
            <w:tcW w:w="1044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Two Levels Below the SCO (Branch Chief)</w:t>
            </w:r>
          </w:p>
        </w:tc>
      </w:tr>
    </w:tbl>
    <w:p>
      <w:pPr>
        <w:pBdr>
          <w:top w:space="5"/>
          <w:left w:space="5"/>
          <w:bottom w:space="5"/>
          <w:right w:space="5"/>
        </w:pBdr>
        <w:spacing w:after="0"/>
        <w:ind w:left="585"/>
        <w:jc w:val="left"/>
      </w:pPr>
      <w:r>
        <w:rPr>
          <w:rFonts w:ascii="Times New Roman" w:hAnsi="Times New Roman"/>
          <w:b w:val="false"/>
          <w:i w:val="false"/>
          <w:color w:val="000000"/>
          <w:sz w:val="22"/>
        </w:rPr>
        <w:t>b. Clearance Review</w:t>
      </w:r>
    </w:p>
    <w:p>
      <w:pPr>
        <w:pBdr>
          <w:top w:space="5"/>
          <w:left w:space="5"/>
          <w:bottom w:space="5"/>
          <w:right w:space="5"/>
        </w:pBdr>
        <w:spacing w:after="0"/>
        <w:ind w:left="225"/>
        <w:jc w:val="left"/>
      </w:pPr>
      <w:r>
        <w:rPr>
          <w:rFonts w:ascii="Times New Roman" w:hAnsi="Times New Roman"/>
          <w:b w:val="false"/>
          <w:i w:val="false"/>
          <w:color w:val="000000"/>
          <w:sz w:val="22"/>
        </w:rPr>
        <w:t>The AFNWC SCO further establishes the following clearance review threshold for all AFNWC/PZ locations (Eglin, Kirtland, Hanscom, Hill, and Tinker AFB):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Contract Value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$10M</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Local PZC</w:t>
            </w:r>
          </w:p>
        </w:tc>
      </w:tr>
    </w:tbl>
    <w:p>
      <w:pPr>
        <w:pBdr>
          <w:top w:space="5"/>
          <w:left w:space="5"/>
          <w:bottom w:space="5"/>
          <w:right w:space="5"/>
        </w:pBdr>
        <w:spacing w:after="0"/>
        <w:ind w:left="225"/>
        <w:jc w:val="left"/>
      </w:pPr>
      <w:r>
        <w:rPr>
          <w:rFonts w:ascii="Times New Roman" w:hAnsi="Times New Roman"/>
          <w:b/>
          <w:i w:val="false"/>
          <w:color w:val="000000"/>
          <w:sz w:val="22"/>
        </w:rPr>
        <w:t>For Air Force Research Laboratory (AFRL):</w:t>
      </w:r>
      <w:r>
        <w:rPr>
          <w:rFonts w:ascii="Times New Roman" w:hAnsi="Times New Roman"/>
          <w:b w:val="false"/>
          <w:i w:val="false"/>
          <w:color w:val="000000"/>
          <w:sz w:val="22"/>
        </w:rPr>
        <w:t xml:space="preserve"> This PGI sets forth approval authorities, including any delegations that are specific to AFRL.</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i w:val="false"/>
          <w:color w:val="000000"/>
          <w:sz w:val="22"/>
        </w:rPr>
        <w:t>Clearance Review</w:t>
      </w:r>
    </w:p>
    <w:p>
      <w:pPr>
        <w:pBdr>
          <w:top w:space="5"/>
          <w:left w:space="5"/>
          <w:bottom w:space="5"/>
          <w:right w:space="5"/>
        </w:pBdr>
        <w:spacing w:after="0"/>
        <w:ind w:left="225"/>
        <w:jc w:val="left"/>
      </w:pPr>
      <w:r>
        <w:rPr>
          <w:rFonts w:ascii="Times New Roman" w:hAnsi="Times New Roman"/>
          <w:b w:val="false"/>
          <w:i w:val="false"/>
          <w:color w:val="000000"/>
          <w:sz w:val="22"/>
        </w:rPr>
        <w:t>The Clearance Review may be further delegated by approval of the SCO.</w:t>
      </w:r>
    </w:p>
    <w:p>
      <w:pPr>
        <w:pBdr>
          <w:top w:space="5"/>
          <w:left w:space="5"/>
          <w:bottom w:space="5"/>
          <w:right w:space="5"/>
        </w:pBdr>
        <w:spacing w:after="0"/>
        <w:ind w:left="225"/>
        <w:jc w:val="left"/>
      </w:pPr>
      <w:r>
        <w:rPr>
          <w:rFonts w:ascii="Times New Roman" w:hAnsi="Times New Roman"/>
          <w:b w:val="false"/>
          <w:i w:val="false"/>
          <w:color w:val="000000"/>
          <w:sz w:val="22"/>
        </w:rPr>
        <w:t>(a) Clearance Review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426"/>
        <w:gridCol w:w="3263"/>
        <w:gridCol w:w="488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 for Enterprise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Reviewer</w:t>
            </w:r>
          </w:p>
        </w:tc>
      </w:tr>
      <w:tr>
        <w:trPr>
          <w:trHeight w:val="168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$100M</w:t>
            </w:r>
          </w:p>
          <w:p>
            <w:pPr>
              <w:pBdr>
                <w:top w:space="5"/>
                <w:left w:space="5"/>
                <w:bottom w:space="5"/>
                <w:right w:space="5"/>
              </w:pBdr>
              <w:spacing w:after="0"/>
              <w:ind w:left="240"/>
              <w:jc w:val="left"/>
            </w:pPr>
            <w:r>
              <w:rPr>
                <w:rFonts w:ascii="Times New Roman" w:hAnsi="Times New Roman"/>
                <w:b w:val="false"/>
                <w:i w:val="false"/>
                <w:color w:val="000000"/>
                <w:sz w:val="22"/>
              </w:rPr>
              <w:t>≥ $10M &lt; $100M</w:t>
            </w:r>
          </w:p>
          <w:p>
            <w:pPr>
              <w:pBdr>
                <w:top w:space="5"/>
                <w:left w:space="5"/>
                <w:bottom w:space="5"/>
                <w:right w:space="5"/>
              </w:pBdr>
              <w:spacing w:after="0"/>
              <w:ind w:left="240"/>
              <w:jc w:val="left"/>
            </w:pPr>
            <w:r>
              <w:rPr>
                <w:rFonts w:ascii="Times New Roman" w:hAnsi="Times New Roman"/>
                <w:b w:val="false"/>
                <w:i w:val="false"/>
                <w:color w:val="000000"/>
                <w:sz w:val="22"/>
              </w:rPr>
              <w:t>&lt; $10M</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Review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426"/>
        <w:gridCol w:w="3263"/>
        <w:gridCol w:w="488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 for Operational Contracting</w:t>
            </w:r>
          </w:p>
        </w:tc>
      </w:tr>
      <w:tr>
        <w:trPr>
          <w:trHeight w:val="540"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Level</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Reviewer</w:t>
            </w:r>
          </w:p>
        </w:tc>
      </w:tr>
      <w:tr>
        <w:trPr>
          <w:trHeight w:val="1485" w:hRule="atLeast"/>
        </w:trPr>
        <w:tc>
          <w:tcPr>
            <w:tcW w:w="542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w:t>
            </w:r>
          </w:p>
        </w:tc>
        <w:tc>
          <w:tcPr>
            <w:tcW w:w="326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$10M</w:t>
            </w:r>
          </w:p>
          <w:p>
            <w:pPr>
              <w:pBdr>
                <w:top w:space="5"/>
                <w:left w:space="5"/>
                <w:bottom w:space="5"/>
                <w:right w:space="5"/>
              </w:pBdr>
              <w:spacing w:after="0"/>
              <w:ind w:left="240"/>
              <w:jc w:val="left"/>
            </w:pPr>
            <w:r>
              <w:rPr>
                <w:rFonts w:ascii="Times New Roman" w:hAnsi="Times New Roman"/>
                <w:b w:val="false"/>
                <w:i w:val="false"/>
                <w:color w:val="000000"/>
                <w:sz w:val="22"/>
              </w:rPr>
              <w:t>≥ $500K &lt; $10M</w:t>
            </w:r>
          </w:p>
          <w:p>
            <w:pPr>
              <w:pBdr>
                <w:top w:space="5"/>
                <w:left w:space="5"/>
                <w:bottom w:space="5"/>
                <w:right w:space="5"/>
              </w:pBdr>
              <w:spacing w:after="0"/>
              <w:ind w:left="240"/>
              <w:jc w:val="left"/>
            </w:pPr>
            <w:r>
              <w:rPr>
                <w:rFonts w:ascii="Times New Roman" w:hAnsi="Times New Roman"/>
                <w:b w:val="false"/>
                <w:i w:val="false"/>
                <w:color w:val="000000"/>
                <w:sz w:val="22"/>
              </w:rPr>
              <w:t>&lt; $500K</w:t>
            </w:r>
          </w:p>
        </w:tc>
        <w:tc>
          <w:tcPr>
            <w:tcW w:w="488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p>
            <w:pPr>
              <w:pBdr>
                <w:top w:space="5"/>
                <w:left w:space="5"/>
                <w:bottom w:space="5"/>
                <w:right w:space="5"/>
              </w:pBdr>
              <w:spacing w:after="0"/>
              <w:ind w:left="240"/>
              <w:jc w:val="left"/>
            </w:pPr>
            <w:r>
              <w:rPr>
                <w:rFonts w:ascii="Times New Roman" w:hAnsi="Times New Roman"/>
                <w:b w:val="false"/>
                <w:i w:val="false"/>
                <w:color w:val="000000"/>
                <w:sz w:val="22"/>
              </w:rPr>
              <w:t>Local Reviewer</w:t>
            </w:r>
          </w:p>
          <w:p>
            <w:pPr>
              <w:pBdr>
                <w:top w:space="5"/>
                <w:left w:space="5"/>
                <w:bottom w:space="5"/>
                <w:right w:space="5"/>
              </w:pBdr>
              <w:spacing w:after="0"/>
              <w:ind w:left="240"/>
              <w:jc w:val="left"/>
            </w:pPr>
            <w:r>
              <w:rPr>
                <w:rFonts w:ascii="Times New Roman" w:hAnsi="Times New Roman"/>
                <w:b w:val="false"/>
                <w:i w:val="false"/>
                <w:color w:val="000000"/>
                <w:sz w:val="22"/>
              </w:rPr>
              <w:t>PCO</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i w:val="false"/>
          <w:color w:val="000000"/>
          <w:sz w:val="22"/>
        </w:rPr>
        <w:t>Clearance Approval</w:t>
      </w:r>
    </w:p>
    <w:p>
      <w:pPr>
        <w:pBdr>
          <w:top w:space="5"/>
          <w:left w:space="5"/>
          <w:bottom w:space="5"/>
          <w:right w:space="5"/>
        </w:pBdr>
        <w:spacing w:after="0"/>
        <w:ind w:left="225"/>
        <w:jc w:val="left"/>
      </w:pPr>
      <w:r>
        <w:rPr>
          <w:rFonts w:ascii="Times New Roman" w:hAnsi="Times New Roman"/>
          <w:b w:val="false"/>
          <w:i w:val="false"/>
          <w:color w:val="000000"/>
          <w:sz w:val="22"/>
        </w:rPr>
        <w:t>The following table defines “one level below SCO” and “two levels below SCO,” and specifies the applicable CAA for actions &gt;$1B.</w:t>
      </w:r>
    </w:p>
    <w:p>
      <w:pPr>
        <w:pBdr>
          <w:top w:space="5"/>
          <w:left w:space="5"/>
          <w:bottom w:space="5"/>
          <w:right w:space="5"/>
        </w:pBdr>
        <w:spacing w:after="0"/>
        <w:ind w:left="225"/>
        <w:jc w:val="left"/>
      </w:pPr>
      <w:r>
        <w:rPr>
          <w:rFonts w:ascii="Times New Roman" w:hAnsi="Times New Roman"/>
          <w:b w:val="false"/>
          <w:i w:val="false"/>
          <w:color w:val="000000"/>
          <w:sz w:val="22"/>
        </w:rPr>
        <w:t>(a) Clearance Approval for Enterprise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529"/>
        <w:gridCol w:w="2989"/>
        <w:gridCol w:w="3528"/>
        <w:gridCol w:w="3528"/>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Enterprise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$50M - &lt;$100M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 &lt;$50M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val="false"/>
          <w:i w:val="false"/>
          <w:color w:val="000000"/>
          <w:sz w:val="22"/>
        </w:rPr>
        <w:t>(b) Clearance Approval for Operational Contracting Actions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529"/>
        <w:gridCol w:w="2989"/>
        <w:gridCol w:w="3528"/>
        <w:gridCol w:w="3528"/>
      </w:tblGrid>
      <w:tr>
        <w:trPr>
          <w:trHeight w:val="540" w:hRule="atLeast"/>
        </w:trPr>
        <w:tc>
          <w:tcPr>
            <w:tcW w:w="0" w:type="auto"/>
            <w:gridSpan w:val="4"/>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Clearance Approval for Operational Contracting</w:t>
            </w:r>
          </w:p>
        </w:tc>
      </w:tr>
      <w:tr>
        <w:trPr>
          <w:trHeight w:val="10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Organization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$10M &lt;$1B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$3M - &lt;$10M “One level below SCO”</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CAA for</w:t>
            </w:r>
            <w:r>
              <w:rPr>
                <w:rFonts w:ascii="Times New Roman" w:hAnsi="Times New Roman"/>
                <w:b w:val="false"/>
                <w:i w:val="false"/>
                <w:color w:val="000000"/>
                <w:sz w:val="22"/>
              </w:rPr>
              <w:t xml:space="preserve"> ≥</w:t>
            </w:r>
            <w:r>
              <w:rPr>
                <w:rFonts w:ascii="Times New Roman" w:hAnsi="Times New Roman"/>
                <w:b/>
                <w:i w:val="false"/>
                <w:color w:val="000000"/>
                <w:sz w:val="22"/>
              </w:rPr>
              <w:t>$500K - &lt;$3M “Two levels below SCO”</w:t>
            </w:r>
          </w:p>
        </w:tc>
      </w:tr>
      <w:tr>
        <w:trPr>
          <w:trHeight w:val="106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PZL, SBRK (WP), RVK, RDK (Kirtland), RIK (Rome)</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AFRL/RWK (Eglin)</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Branch</w:t>
            </w:r>
          </w:p>
        </w:tc>
      </w:tr>
      <w:tr>
        <w:trPr>
          <w:trHeight w:val="795" w:hRule="atLeast"/>
        </w:trPr>
        <w:tc>
          <w:tcPr>
            <w:tcW w:w="35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AFOSR</w:t>
            </w:r>
          </w:p>
        </w:tc>
        <w:tc>
          <w:tcPr>
            <w:tcW w:w="298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AFRL/PK</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for Directorate</w:t>
            </w:r>
          </w:p>
        </w:tc>
        <w:tc>
          <w:tcPr>
            <w:tcW w:w="3528"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of Contracting Division</w:t>
            </w:r>
          </w:p>
        </w:tc>
      </w:tr>
    </w:tbl>
    <w:p>
      <w:pPr>
        <w:pBdr>
          <w:top w:space="5"/>
          <w:left w:space="5"/>
          <w:bottom w:space="5"/>
          <w:right w:space="5"/>
        </w:pBdr>
        <w:spacing w:after="0"/>
        <w:ind w:left="225"/>
        <w:jc w:val="left"/>
      </w:pPr>
      <w:r>
        <w:rPr>
          <w:rFonts w:ascii="Times New Roman" w:hAnsi="Times New Roman"/>
          <w:b/>
          <w:i w:val="false"/>
          <w:color w:val="000000"/>
          <w:sz w:val="22"/>
        </w:rPr>
        <w:t>For Air Force Sustainment Center (AFSC)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AFSC and AFLCMC contracting organizations located at Hill Air Force Base, Robins Air Force Base, and Tinker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AFSC/PK Clearance Review and Approval Authorities, see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For</w:t>
      </w:r>
      <w:r>
        <w:rPr>
          <w:rFonts w:ascii="Times New Roman" w:hAnsi="Times New Roman"/>
          <w:b w:val="false"/>
          <w:i w:val="false"/>
          <w:color w:val="000000"/>
          <w:sz w:val="22"/>
        </w:rPr>
        <w:t xml:space="preserve"> </w:t>
      </w:r>
      <w:r>
        <w:rPr>
          <w:rFonts w:ascii="Times New Roman" w:hAnsi="Times New Roman"/>
          <w:b/>
          <w:i w:val="false"/>
          <w:color w:val="000000"/>
          <w:sz w:val="22"/>
        </w:rPr>
        <w:t>Air Force Test Center (AFTC)</w:t>
      </w:r>
      <w:r>
        <w:rPr>
          <w:rFonts w:ascii="Times New Roman" w:hAnsi="Times New Roman"/>
          <w:b/>
          <w:i w:val="false"/>
          <w:color w:val="000000"/>
          <w:sz w:val="22"/>
        </w:rPr>
        <w:t>:</w:t>
      </w:r>
      <w:r>
        <w:rPr>
          <w:rFonts w:ascii="Times New Roman" w:hAnsi="Times New Roman"/>
          <w:b w:val="false"/>
          <w:i w:val="false"/>
          <w:color w:val="000000"/>
          <w:sz w:val="22"/>
        </w:rPr>
        <w:t xml:space="preserve"> This PGI sets forth approval authorities including any delegations that are specific to the AFTC contracting organizations located at Edwards Air Force Base, Arnold Air Force Base, Eglin Air Force Base, and Hill Air Force Base.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AFTC/PK Clearance Review and Approval Authorities, see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Summary Matrix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21197/400/AFLCMC%20Clearance%20Delegation/Forms/AllItems.aspx" Type="http://schemas.openxmlformats.org/officeDocument/2006/relationships/hyperlink" Id="rId4"/>
    <Relationship TargetMode="External" Target="https://org2.eis.af.mil/sites/22784/PKC/PKCA/AFSC%20Clearance%20Delegations/Forms/AllItems.aspx" Type="http://schemas.openxmlformats.org/officeDocument/2006/relationships/hyperlink" Id="rId5"/>
    <Relationship TargetMode="External"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